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GUIA DE ESTUDO DA QUALIFICAÇÃO</w:t>
      </w:r>
    </w:p>
    <w:p>
      <w:pPr>
        <w:jc w:val="center"/>
      </w:pPr>
      <w:r>
        <w:rPr>
          <w:i/>
        </w:rPr>
        <w:t>Conceitos e autores de cada lâmina, com o lugar da tese onde aprofundar</w:t>
        <w:br/>
      </w:r>
      <w:r>
        <w:t>Apresentação: Qualificacao_PNED_Pipa.pptx (30 lâminas)</w:t>
      </w:r>
    </w:p>
    <w:p>
      <w:pPr>
        <w:pStyle w:val="Heading1"/>
      </w:pPr>
      <w:r>
        <w:t>Como usar</w:t>
      </w:r>
    </w:p>
    <w:p>
      <w:pPr>
        <w:pStyle w:val="ListBullet"/>
      </w:pPr>
      <w:r>
        <w:t>Cada lâmina traz: a ideia central; os conceitos, com a explicação que a tese adota; os autores e as páginas citadas; a seção da tese onde o assunto é desenvolvido; e perguntas de estudo, que também servem de ensaio para a arguição.</w:t>
      </w:r>
    </w:p>
    <w:p>
      <w:pPr>
        <w:pStyle w:val="ListBullet"/>
      </w:pPr>
      <w:r>
        <w:t>As explicações foram tiradas dos próprios capítulos e do projeto. Nenhuma página foi acrescentada fora do que está no texto da tese.</w:t>
      </w:r>
    </w:p>
    <w:p>
      <w:pPr>
        <w:pStyle w:val="ListBullet"/>
      </w:pPr>
      <w:r>
        <w:t>O índice de conceitos, logo abaixo, serve como mapa rápido. A lista de pendências, no fim, reúne o que ainda precisa ser conferido.</w:t>
      </w:r>
    </w:p>
    <w:p>
      <w:pPr>
        <w:pStyle w:val="Heading1"/>
      </w:pPr>
      <w:r>
        <w:t>Índice de conceitos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CE32"/>
          </w:tcPr>
          <w:p>
            <w:r/>
            <w:r>
              <w:rPr>
                <w:b/>
              </w:rPr>
              <w:t>Conceito</w:t>
            </w:r>
          </w:p>
        </w:tc>
        <w:tc>
          <w:tcPr>
            <w:tcW w:type="dxa" w:w="2351"/>
            <w:shd w:val="clear" w:color="auto" w:fill="FFCE32"/>
          </w:tcPr>
          <w:p>
            <w:r/>
            <w:r>
              <w:rPr>
                <w:b/>
              </w:rPr>
              <w:t>Autor(es)</w:t>
            </w:r>
          </w:p>
        </w:tc>
        <w:tc>
          <w:tcPr>
            <w:tcW w:type="dxa" w:w="2351"/>
            <w:shd w:val="clear" w:color="auto" w:fill="FFCE32"/>
          </w:tcPr>
          <w:p>
            <w:r/>
            <w:r>
              <w:rPr>
                <w:b/>
              </w:rPr>
              <w:t>Seção da tese</w:t>
            </w:r>
          </w:p>
        </w:tc>
        <w:tc>
          <w:tcPr>
            <w:tcW w:type="dxa" w:w="2351"/>
            <w:shd w:val="clear" w:color="auto" w:fill="FFCE32"/>
          </w:tcPr>
          <w:p>
            <w:r/>
            <w:r>
              <w:rPr>
                <w:b/>
              </w:rPr>
              <w:t>Lâminas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Abordagem do Ciclo de Políticas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Bowe, Ball e Gold (1992); Mainardes (2006)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3.1; 4.2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Atuação / encenação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Ball, Maguire e Braun (2016)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1, 3, 13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Dimensões do contexto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Ball, Maguire e Braun (2016, p. 38)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3.2; 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5, 13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Recontextualização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Bowe, Ball e Gold (1992, p. 22)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3.1; 4.3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4, 6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Culturas profissionais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Hargreaves (2005)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5, 14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Performatividade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Ball (2004; 2008)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Fabricação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Ball (2002)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Poder e resistência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Foucault (1999); Ball (2011); Freire (2019)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3.5; 4.3.1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4, 14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Território usado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Santos (1999)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1.1; 3.6; 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8, 15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Rugosidade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Santos (2006; 2012)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6.2; 6.3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15, 25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Lugar / encontro de trajetórias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Massey (2008)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3.6; 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8, 15, 24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Habitar / Educação OnLIFE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Schlemmer, Backes e Palagi (2021); Di Felice (2009)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Habitar o digital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Formulação da tese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3.6; 6.4.2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15, 26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Provisão, proteção, participação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ONU (2021); Freire (2019)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1.1; 3.6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5, 7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Plataformas, dados, solucionismo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Zuboff; Silveira; Morozov; Pretto et al.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3.6.1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Categorias sensibilizadoras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Quadro 12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5.2.3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Vazio material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Formulação da tese; Lei nº 14.533/2023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5.5; 1.2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22, 26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Rugosidade tecnológica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Formulação da tese; Santos (2012)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6.3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25, 26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PRISMA, PICo, síntese temática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Page et al.; Lockwood et al.; Thomas e Harden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Estudo de caso, análise temática reflexiva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Yin; Minayo; Braun e Clarke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4.1; 4.5.1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17, 18</w:t>
            </w:r>
          </w:p>
        </w:tc>
      </w:tr>
    </w:tbl>
    <w:p>
      <w:pPr>
        <w:pStyle w:val="Heading1"/>
      </w:pPr>
      <w:r>
        <w:t>Lâmina por lâmina</w:t>
      </w:r>
    </w:p>
    <w:p>
      <w:pPr>
        <w:pStyle w:val="Heading2"/>
      </w:pPr>
      <w:r>
        <w:t>Lâmina 1 · Capa</w:t>
      </w:r>
    </w:p>
    <w:p>
      <w:r>
        <w:rPr>
          <w:b/>
        </w:rPr>
        <w:t xml:space="preserve">Ideia central: </w:t>
      </w:r>
      <w:r>
        <w:t>Apresenta a tese e o lugar da pesquisa: a Escola Municipal Domitila Castelo da Silva, em Pipa (RN).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Encenação: </w:t>
      </w:r>
      <w:r>
        <w:t>Título da tese. Tradução que a tese adota para enactment, termo da teoria da atuação (ver lâmina 13).</w:t>
      </w:r>
    </w:p>
    <w:p>
      <w:pPr>
        <w:pStyle w:val="ListBullet"/>
      </w:pPr>
      <w:r>
        <w:rPr>
          <w:b/>
        </w:rPr>
        <w:t xml:space="preserve">Culturas profissionais, território e resistências: </w:t>
      </w:r>
      <w:r>
        <w:t>Os três eixos do título correspondem a três blocos teóricos do capítulo 3: culturas profissionais (3.3), território e habitar o digital (3.6) e poder e resistência (3.5).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Ball, Maguire e Braun (2016), pela noção de atuação/encenação.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1, abertura e seção 1.6 (arquitetura da tese).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Por que a tese usa "encenação" no lugar de "implementação"? (resposta na lâmina 13 e na seção 3.2).</w:t>
      </w:r>
    </w:p>
    <w:p>
      <w:pPr>
        <w:pStyle w:val="Heading2"/>
      </w:pPr>
      <w:r>
        <w:t>Lâmina 2 · Roteiro</w:t>
      </w:r>
    </w:p>
    <w:p>
      <w:r>
        <w:rPr>
          <w:b/>
        </w:rPr>
        <w:t xml:space="preserve">Ideia central: </w:t>
      </w:r>
      <w:r>
        <w:t>Organiza a apresentação na ordem dos capítulos: objeto, RSL, teoria, método, agenda e PNED, território.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1, seção 1.6, que descreve os oito capítulos.</w:t>
      </w:r>
    </w:p>
    <w:p>
      <w:pPr>
        <w:pStyle w:val="Heading2"/>
      </w:pPr>
      <w:r>
        <w:t>Lâmina 3 · Objeto</w:t>
      </w:r>
    </w:p>
    <w:p>
      <w:r>
        <w:rPr>
          <w:b/>
        </w:rPr>
        <w:t xml:space="preserve">Ideia central: </w:t>
      </w:r>
      <w:r>
        <w:t>Delimita o objeto: a PNED, no eixo Educação Digital Escolar, tal como os profissionais a interpretam, traduzem e recontextualizam nos anos iniciais da escola de Pipa.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PNED: </w:t>
      </w:r>
      <w:r>
        <w:t>Política Nacional de Educação Digital, Lei nº 14.533/2023, com quatro eixos: Inclusão Digital, Educação Digital Escolar, Capacitação e Especialização Digital e Pesquisa e Desenvolvimento em TIC. A tese trata do eixo Educação Digital Escolar.</w:t>
      </w:r>
    </w:p>
    <w:p>
      <w:pPr>
        <w:pStyle w:val="ListBullet"/>
      </w:pPr>
      <w:r>
        <w:rPr>
          <w:b/>
        </w:rPr>
        <w:t xml:space="preserve">Profissionais da educação: </w:t>
      </w:r>
      <w:r>
        <w:t>Todos os que, na escola, participam da construção da política: docentes, coordenação, direção e demais profissionais ligados aos processos pedagógicos ou à educação digital.</w:t>
      </w:r>
    </w:p>
    <w:p>
      <w:pPr>
        <w:pStyle w:val="ListBullet"/>
      </w:pPr>
      <w:r>
        <w:rPr>
          <w:b/>
        </w:rPr>
        <w:t xml:space="preserve">Atuações "coletivas, criativas e limitadas": </w:t>
      </w:r>
      <w:r>
        <w:t>Formulação de Ball, Maguire e Braun (2016, p. 103): as atuações são feitas de "malabarismo instável entre as prioridades inconciliáveis, cargas de trabalho impossíveis, movimentos satisficing e entusiasmos pessoais".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BRASIL. Lei nº 14.533/2023.</w:t>
      </w:r>
    </w:p>
    <w:p>
      <w:pPr>
        <w:pStyle w:val="ListBullet"/>
      </w:pPr>
      <w:r>
        <w:t>Ball, Maguire e Braun (2016, p. 103).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1, abertura e 1.3.</w:t>
      </w:r>
    </w:p>
    <w:p>
      <w:pPr>
        <w:pStyle w:val="ListBullet"/>
      </w:pPr>
      <w:r>
        <w:t>Cap. 3, seção 3.2 (a citação completa da p. 103).</w:t>
      </w:r>
    </w:p>
    <w:p>
      <w:pPr>
        <w:pStyle w:val="ListBullet"/>
      </w:pPr>
      <w:r>
        <w:t>Cap. 5, seção 5.5 (o eixo na lei).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Por que ouvir todos os profissionais, e não só as professoras regentes? (cap. 3.2: os atores são "posicionados de forma diferente", BMB, 2016, p. 74-75).</w:t>
      </w:r>
    </w:p>
    <w:p>
      <w:pPr>
        <w:pStyle w:val="Heading2"/>
      </w:pPr>
      <w:r>
        <w:t>Lâmina 4 · Questão de pesquisa</w:t>
      </w:r>
    </w:p>
    <w:p>
      <w:r>
        <w:rPr>
          <w:b/>
        </w:rPr>
        <w:t xml:space="preserve">Ideia central: </w:t>
      </w:r>
      <w:r>
        <w:t>Pergunta como a PNED é encenada e recontextualizada e como culturas profissionais, condições da escola e território atravessam esse processo, produzindo formas de atuação.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Recontextualizar: </w:t>
      </w:r>
      <w:r>
        <w:t>Recriar a política no contexto da prática: ela "não é simplesmente recebida e implementada [...] está sujeita à interpretação e então é ‘recriada’" (BOWE; BALL; GOLD, 1992, p. 22).</w:t>
      </w:r>
    </w:p>
    <w:p>
      <w:pPr>
        <w:pStyle w:val="ListBullet"/>
      </w:pPr>
      <w:r>
        <w:rPr>
          <w:b/>
        </w:rPr>
        <w:t xml:space="preserve">Formas de atuação: </w:t>
      </w:r>
      <w:r>
        <w:t>Acomodação, negociação, ressignificação, resistência e outras (ver lâmina 14).</w:t>
      </w:r>
    </w:p>
    <w:p>
      <w:pPr>
        <w:pStyle w:val="ListBullet"/>
      </w:pPr>
      <w:r>
        <w:rPr>
          <w:b/>
        </w:rPr>
        <w:t xml:space="preserve">Resistência como possibilidade: </w:t>
      </w:r>
      <w:r>
        <w:t>A resistência está no título, mas é hipótese a examinar nos dados, sem ser pressuposta.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Bowe, Ball e Gold (1992, p. 22).</w:t>
      </w:r>
    </w:p>
    <w:p>
      <w:pPr>
        <w:pStyle w:val="ListBullet"/>
      </w:pPr>
      <w:r>
        <w:t>Ball, Maguire e Braun (2016, p. 14): as políticas "raramente ditam ou determinam a prática".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1, seção 1.3.</w:t>
      </w:r>
    </w:p>
    <w:p>
      <w:pPr>
        <w:pStyle w:val="ListBullet"/>
      </w:pPr>
      <w:r>
        <w:t>Cap. 3, seções 3.1 e 3.5.</w:t>
      </w:r>
    </w:p>
    <w:p>
      <w:pPr>
        <w:pStyle w:val="ListBullet"/>
      </w:pPr>
      <w:r>
        <w:t>Cap. 4, seção 4.3 (recontextualização como categoria analítica integradora).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O que garante que a pesquisa não "encontre" a resistência que procura? (critérios datados e assinados antes da 1ª entrevista, cap. 4, 4.3.1).</w:t>
      </w:r>
    </w:p>
    <w:p>
      <w:pPr>
        <w:pStyle w:val="Heading2"/>
      </w:pPr>
      <w:r>
        <w:t>Lâmina 5 · Objetivos</w:t>
      </w:r>
    </w:p>
    <w:p>
      <w:r>
        <w:rPr>
          <w:b/>
        </w:rPr>
        <w:t xml:space="preserve">Ideia central: </w:t>
      </w:r>
      <w:r>
        <w:t>Um objetivo geral e quatro específicos, que seguem o caminho da política até as crianças.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Interpretação (obj. a): </w:t>
      </w:r>
      <w:r>
        <w:t>Compreender como os profissionais leem a política a partir de experiências, crenças, valores e formas de organização do trabalho. Dialoga com culturas profissionais (Hargreaves).</w:t>
      </w:r>
    </w:p>
    <w:p>
      <w:pPr>
        <w:pStyle w:val="ListBullet"/>
      </w:pPr>
      <w:r>
        <w:rPr>
          <w:b/>
        </w:rPr>
        <w:t xml:space="preserve">Condições e território (obj. b): </w:t>
      </w:r>
      <w:r>
        <w:t>Analisar como condições materiais, institucionais e territoriais atravessam a tradução da política. Dialoga com as dimensões situada e material (BMB, 2016, p. 38).</w:t>
      </w:r>
    </w:p>
    <w:p>
      <w:pPr>
        <w:pStyle w:val="ListBullet"/>
      </w:pPr>
      <w:r>
        <w:rPr>
          <w:b/>
        </w:rPr>
        <w:t xml:space="preserve">Formas de atuação (obj. c): </w:t>
      </w:r>
      <w:r>
        <w:t>Identificar adesão, acomodação, adaptação, omissão seletiva, negociação, ressignificação ou resistência.</w:t>
      </w:r>
    </w:p>
    <w:p>
      <w:pPr>
        <w:pStyle w:val="ListBullet"/>
      </w:pPr>
      <w:r>
        <w:rPr>
          <w:b/>
        </w:rPr>
        <w:t xml:space="preserve">Crianças (obj. d): </w:t>
      </w:r>
      <w:r>
        <w:t>Discutir implicações para provisão, proteção e participação no ambiente digital (ONU, 2021).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Hargreaves (2005).</w:t>
      </w:r>
    </w:p>
    <w:p>
      <w:pPr>
        <w:pStyle w:val="ListBullet"/>
      </w:pPr>
      <w:r>
        <w:t>Ball, Maguire e Braun (2016, p. 38).</w:t>
      </w:r>
    </w:p>
    <w:p>
      <w:pPr>
        <w:pStyle w:val="ListBullet"/>
      </w:pPr>
      <w:r>
        <w:t>ONU (2021), Comentário Geral nº 25.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1, seção 1.3.</w:t>
      </w:r>
    </w:p>
    <w:p>
      <w:pPr>
        <w:pStyle w:val="ListBullet"/>
      </w:pPr>
      <w:r>
        <w:t>Cap. 4, Quadro 9 (objetivos, fontes e capítulos).</w:t>
      </w:r>
    </w:p>
    <w:p>
      <w:pPr>
        <w:pStyle w:val="ListBullet"/>
      </w:pPr>
      <w:r>
        <w:t>Cap. 3, seção 3.6 (provisão, proteção, participação).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Em que capítulo cada objetivo será respondido? (todos no cap. 7; caps. 5 e 6 constroem as bases, Quadro 9).</w:t>
      </w:r>
    </w:p>
    <w:p>
      <w:pPr>
        <w:pStyle w:val="Heading2"/>
      </w:pPr>
      <w:r>
        <w:t>Lâmina 6 · Por que agora?</w:t>
      </w:r>
    </w:p>
    <w:p>
      <w:r>
        <w:rPr>
          <w:b/>
        </w:rPr>
        <w:t xml:space="preserve">Ideia central: </w:t>
      </w:r>
      <w:r>
        <w:t>A pesquisa acontece quando várias normas chegam juntas às escolas.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Calendário normativo: </w:t>
      </w:r>
      <w:r>
        <w:t>Lei nº 14.533 (jan. 2023); derrubada do veto e inclusão do § 11 do art. 26 da LDB (dez. 2023); Resolução CNE/CEB nº 2/2025 (implementação a partir de 2026, art. 36); Estatuto Digital da Criança e do Adolescente, Lei nº 15.211/2025 (em vigor em mar. 2026); novo PNE, Lei nº 15.388/2026 (abr. 2026).</w:t>
      </w:r>
    </w:p>
    <w:p>
      <w:pPr>
        <w:pStyle w:val="ListBullet"/>
      </w:pPr>
      <w:r>
        <w:rPr>
          <w:b/>
        </w:rPr>
        <w:t xml:space="preserve">Contexto da prática: </w:t>
      </w:r>
      <w:r>
        <w:t>Arena em que a política é interpretada e recriada (BOWE; BALL; GOLD, 1992, p. 22).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BRASIL (2023; 2025a; 2025b; 2026).</w:t>
      </w:r>
    </w:p>
    <w:p>
      <w:pPr>
        <w:pStyle w:val="ListBullet"/>
      </w:pPr>
      <w:r>
        <w:t>Bowe, Ball e Gold (1992, p. 22).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5, seções 5.4 e 5.5 e síntese 5.6.</w:t>
      </w:r>
    </w:p>
    <w:p>
      <w:pPr>
        <w:pStyle w:val="ListBullet"/>
      </w:pPr>
      <w:r>
        <w:t>Cap. 2, seção 2.5.2 (a lacuna acompanha o calendário da política).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Por que a ausência da PNED na literatura tem "explicação cronológica"? (cap. 2, 2.5.2).</w:t>
      </w:r>
    </w:p>
    <w:p>
      <w:pPr>
        <w:pStyle w:val="Heading2"/>
      </w:pPr>
      <w:r>
        <w:t>Lâmina 7 · Relevâncias da pesquisa</w:t>
      </w:r>
    </w:p>
    <w:p>
      <w:r>
        <w:rPr>
          <w:b/>
        </w:rPr>
        <w:t xml:space="preserve">Ideia central: </w:t>
      </w:r>
      <w:r>
        <w:t>Cinco relevâncias: para as crianças, os profissionais, o território, a ciência e a rede.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Promessas às crianças: </w:t>
      </w:r>
      <w:r>
        <w:t>Art. 3º, III (participação consciente e democrática) e IV (proteção dos dados) da PNED.</w:t>
      </w:r>
    </w:p>
    <w:p>
      <w:pPr>
        <w:pStyle w:val="ListBullet"/>
      </w:pPr>
      <w:r>
        <w:rPr>
          <w:b/>
        </w:rPr>
        <w:t xml:space="preserve">Fazedores de política: </w:t>
      </w:r>
      <w:r>
        <w:t>Profissionais lidos como quem produz a política, sem que se cobre deles o que só o desenho da política poderia garantir.</w:t>
      </w:r>
    </w:p>
    <w:p>
      <w:pPr>
        <w:pStyle w:val="ListBullet"/>
      </w:pPr>
      <w:r>
        <w:rPr>
          <w:b/>
        </w:rPr>
        <w:t xml:space="preserve">Dissonância territorial: </w:t>
      </w:r>
      <w:r>
        <w:t>Em Pipa, uso econômico intenso das tecnologias convive com salas de aula sem telas.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BRASIL (2023, art. 3º, III e IV).</w:t>
      </w:r>
    </w:p>
    <w:p>
      <w:pPr>
        <w:pStyle w:val="ListBullet"/>
      </w:pPr>
      <w:r>
        <w:t>ONU (2021).</w:t>
      </w:r>
    </w:p>
    <w:p>
      <w:pPr>
        <w:pStyle w:val="ListBullet"/>
      </w:pPr>
      <w:r>
        <w:t>Santos (1999).</w:t>
      </w:r>
    </w:p>
    <w:p>
      <w:pPr>
        <w:pStyle w:val="ListBullet"/>
      </w:pPr>
      <w:r>
        <w:t>Ball, Maguire e Braun (2016).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1, seção 1.1 (justificativa).</w:t>
      </w:r>
    </w:p>
    <w:p>
      <w:pPr>
        <w:pStyle w:val="ListBullet"/>
      </w:pPr>
      <w:r>
        <w:t>Projeto de tese, seção 13 (contribuições esperadas).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Qual é a relevância social, além da acadêmica? (devolutiva à escola e à SME, cap. 4, 4.5.1).</w:t>
      </w:r>
    </w:p>
    <w:p>
      <w:pPr>
        <w:pStyle w:val="Heading2"/>
      </w:pPr>
      <w:r>
        <w:t>Lâmina 8 · Ineditismo</w:t>
      </w:r>
    </w:p>
    <w:p>
      <w:r>
        <w:rPr>
          <w:b/>
        </w:rPr>
        <w:t xml:space="preserve">Ideia central: </w:t>
      </w:r>
      <w:r>
        <w:t>Três planos: empírico-temporal, analítico-espacial e teórico-conceitual.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Empírico-temporal: </w:t>
      </w:r>
      <w:r>
        <w:t>Acompanhar a chegada da PNED à escola; nenhum dos nove estudos da RSL a examina.</w:t>
      </w:r>
    </w:p>
    <w:p>
      <w:pPr>
        <w:pStyle w:val="ListBullet"/>
      </w:pPr>
      <w:r>
        <w:rPr>
          <w:b/>
        </w:rPr>
        <w:t xml:space="preserve">Analítico-espacial: </w:t>
      </w:r>
      <w:r>
        <w:t>Pipa como parte do contexto da prática. "O território não é uma categoria de análise, a categoria de análise é o território usado" (SANTOS, 1999, p. 19); o lugar como "um encontro de trajetórias" (MASSEY, 2008, p. 204).</w:t>
      </w:r>
    </w:p>
    <w:p>
      <w:pPr>
        <w:pStyle w:val="ListBullet"/>
      </w:pPr>
      <w:r>
        <w:rPr>
          <w:b/>
        </w:rPr>
        <w:t xml:space="preserve">Teórico-conceitual: </w:t>
      </w:r>
      <w:r>
        <w:t>Articulação entre atuação, culturas profissionais, materialidade e território, da qual nasce a formulação "habitar o digital".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Santos (1999, p. 19).</w:t>
      </w:r>
    </w:p>
    <w:p>
      <w:pPr>
        <w:pStyle w:val="ListBullet"/>
      </w:pPr>
      <w:r>
        <w:t>Massey (2008, p. 29, 203, 204).</w:t>
      </w:r>
    </w:p>
    <w:p>
      <w:pPr>
        <w:pStyle w:val="ListBullet"/>
      </w:pPr>
      <w:r>
        <w:t>Ball (2011, p. 36, 38, 46).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1, seção 1.5.</w:t>
      </w:r>
    </w:p>
    <w:p>
      <w:pPr>
        <w:pStyle w:val="ListBullet"/>
      </w:pPr>
      <w:r>
        <w:t>Cap. 2, seção 2.5.4 (o ineditismo à luz da RSL).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O que é inédito na tese, se a teoria da atuação já existe? (a articulação dos referenciais e o caso).</w:t>
      </w:r>
    </w:p>
    <w:p>
      <w:pPr>
        <w:pStyle w:val="Heading2"/>
      </w:pPr>
      <w:r>
        <w:t>Lâmina 9 · Divisor: Revisão sistemática</w:t>
      </w:r>
    </w:p>
    <w:p>
      <w:r>
        <w:rPr>
          <w:b/>
        </w:rPr>
        <w:t xml:space="preserve">Ideia central: </w:t>
      </w:r>
      <w:r>
        <w:t>Abre o capítulo 2.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2.</w:t>
      </w:r>
    </w:p>
    <w:p>
      <w:pPr>
        <w:pStyle w:val="Heading2"/>
      </w:pPr>
      <w:r>
        <w:t>Lâmina 10 · Percurso e respostas da revisão</w:t>
      </w:r>
    </w:p>
    <w:p>
      <w:r>
        <w:rPr>
          <w:b/>
        </w:rPr>
        <w:t xml:space="preserve">Ideia central: </w:t>
      </w:r>
      <w:r>
        <w:t>Protocolo da RSL e respostas às três subperguntas.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PRISMA 2020: </w:t>
      </w:r>
      <w:r>
        <w:t>Diretriz para relatar revisões sistemáticas (PAGE et al., 2022).</w:t>
      </w:r>
    </w:p>
    <w:p>
      <w:pPr>
        <w:pStyle w:val="ListBullet"/>
      </w:pPr>
      <w:r>
        <w:rPr>
          <w:b/>
        </w:rPr>
        <w:t xml:space="preserve">PICo: </w:t>
      </w:r>
      <w:r>
        <w:t>População, Interesse, Contexto: estrutura da questão para revisões qualitativas (LOCKWOOD et al., 2015).</w:t>
      </w:r>
    </w:p>
    <w:p>
      <w:pPr>
        <w:pStyle w:val="ListBullet"/>
      </w:pPr>
      <w:r>
        <w:rPr>
          <w:b/>
        </w:rPr>
        <w:t xml:space="preserve">Síntese temática: </w:t>
      </w:r>
      <w:r>
        <w:t>Codificação dos resultados, temas descritivos e temas analíticos (THOMAS; HARDEN, 2008).</w:t>
      </w:r>
    </w:p>
    <w:p>
      <w:pPr>
        <w:pStyle w:val="ListBullet"/>
      </w:pPr>
      <w:r>
        <w:rPr>
          <w:b/>
        </w:rPr>
        <w:t xml:space="preserve">MMAT 2018: </w:t>
      </w:r>
      <w:r>
        <w:t>Instrumento de avaliação da qualidade dos estudos empíricos (HONG et al., 2018), com piso de 3 em 5.</w:t>
      </w:r>
    </w:p>
    <w:p>
      <w:pPr>
        <w:pStyle w:val="ListBullet"/>
      </w:pPr>
      <w:r>
        <w:rPr>
          <w:b/>
        </w:rPr>
        <w:t xml:space="preserve">Números do fluxo: </w:t>
      </w:r>
      <w:r>
        <w:t>7 bases, 176 registros, 39 buscados, 35 avaliados, 9 estudos (2021-2024).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Page et al. (2022).</w:t>
      </w:r>
    </w:p>
    <w:p>
      <w:pPr>
        <w:pStyle w:val="ListBullet"/>
      </w:pPr>
      <w:r>
        <w:t>Lockwood et al. (2015).</w:t>
      </w:r>
    </w:p>
    <w:p>
      <w:pPr>
        <w:pStyle w:val="ListBullet"/>
      </w:pPr>
      <w:r>
        <w:t>Thomas e Harden (2008).</w:t>
      </w:r>
    </w:p>
    <w:p>
      <w:pPr>
        <w:pStyle w:val="ListBullet"/>
      </w:pPr>
      <w:r>
        <w:t>Kitchenham e Charters (2007).</w:t>
      </w:r>
    </w:p>
    <w:p>
      <w:pPr>
        <w:pStyle w:val="ListBullet"/>
      </w:pPr>
      <w:r>
        <w:t>Hong et al. (2018).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2, seções 2.2 a 2.4 e 2.5.1; Apêndices A a C.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Por que não consultar o Banco de Teses da CAPES? (a BDTD já o indexa, cap. 2, 2.2).</w:t>
      </w:r>
    </w:p>
    <w:p>
      <w:pPr>
        <w:pStyle w:val="ListBullet"/>
      </w:pPr>
      <w:r>
        <w:rPr>
          <w:i/>
        </w:rPr>
        <w:t>Qual a principal limitação da RSL? (triagem sem segundo avaliador, 2.5.3).</w:t>
      </w:r>
    </w:p>
    <w:p>
      <w:pPr>
        <w:pStyle w:val="Heading2"/>
      </w:pPr>
      <w:r>
        <w:t>Lâmina 11 · O que a revisão decidiu</w:t>
      </w:r>
    </w:p>
    <w:p>
      <w:r>
        <w:rPr>
          <w:b/>
        </w:rPr>
        <w:t xml:space="preserve">Ideia central: </w:t>
      </w:r>
      <w:r>
        <w:t>Cada lacuna da literatura se converte numa decisão da tese.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Lacuna: </w:t>
      </w:r>
      <w:r>
        <w:t>O que a literatura não examina, sustentado pelo corpus e pelo registro de exclusões (Quadro 8).</w:t>
      </w:r>
    </w:p>
    <w:p>
      <w:pPr>
        <w:pStyle w:val="ListBullet"/>
      </w:pPr>
      <w:r>
        <w:rPr>
          <w:b/>
        </w:rPr>
        <w:t xml:space="preserve">Decisões: </w:t>
      </w:r>
      <w:r>
        <w:t>Recorte do 1º ao 5º ano com alfabetização; rede de Tibau do Sul; funcionamento ordinário da escola; pergunta sobre o que os profissionais fazem quando a condição não chega; cultura digital em caráter exploratório; eixos da revisão como referência para os instrumentos.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Nunes (2024) e Tussi (2023), sobre formação.</w:t>
      </w:r>
    </w:p>
    <w:p>
      <w:pPr>
        <w:pStyle w:val="ListBullet"/>
      </w:pPr>
      <w:r>
        <w:t>Brown et al. (2021), sobre a norma como restrição.</w:t>
      </w:r>
    </w:p>
    <w:p>
      <w:pPr>
        <w:pStyle w:val="ListBullet"/>
      </w:pPr>
      <w:r>
        <w:t>Ivanishchenko, Busana e Reuter (2024), sobre o limite da provisão.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2, seções 2.5.2 (lacunas), Quadro 8 e 2.5.4 (contribuições da tese).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Os referenciais teóricos vêm do corpus? (não: são externos ao corpus, 2.5.4).</w:t>
      </w:r>
    </w:p>
    <w:p>
      <w:pPr>
        <w:pStyle w:val="Heading2"/>
      </w:pPr>
      <w:r>
        <w:t>Lâmina 12 · Divisor: Fundamentos teóricos</w:t>
      </w:r>
    </w:p>
    <w:p>
      <w:r>
        <w:rPr>
          <w:b/>
        </w:rPr>
        <w:t xml:space="preserve">Ideia central: </w:t>
      </w:r>
      <w:r>
        <w:t>Abre o capítulo 3.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3.</w:t>
      </w:r>
    </w:p>
    <w:p>
      <w:pPr>
        <w:pStyle w:val="Heading2"/>
      </w:pPr>
      <w:r>
        <w:t>Lâmina 13 · Do texto ao ato</w:t>
      </w:r>
    </w:p>
    <w:p>
      <w:r>
        <w:rPr>
          <w:b/>
        </w:rPr>
        <w:t xml:space="preserve">Ideia central: </w:t>
      </w:r>
      <w:r>
        <w:t>A política vai do contexto de influência à produção do texto e ao contexto da prática, onde é posta em ato.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Abordagem do Ciclo de Políticas (ACP): </w:t>
      </w:r>
      <w:r>
        <w:t>A política como processo contínuo, em que formulação e prática se influenciam, sem hierarquia fixa entre quem formula e quem executa.</w:t>
      </w:r>
    </w:p>
    <w:p>
      <w:pPr>
        <w:pStyle w:val="ListBullet"/>
      </w:pPr>
      <w:r>
        <w:rPr>
          <w:b/>
        </w:rPr>
        <w:t xml:space="preserve">Contexto de influência: </w:t>
      </w:r>
      <w:r>
        <w:t>Onde se disputam finalidades e discursos (cap. 5: agendas e comparação).</w:t>
      </w:r>
    </w:p>
    <w:p>
      <w:pPr>
        <w:pStyle w:val="ListBullet"/>
      </w:pPr>
      <w:r>
        <w:rPr>
          <w:b/>
        </w:rPr>
        <w:t xml:space="preserve">Contexto da produção do texto: </w:t>
      </w:r>
      <w:r>
        <w:t>Onde as disputas ganham forma em leis e documentos (cap. 5: a lei).</w:t>
      </w:r>
    </w:p>
    <w:p>
      <w:pPr>
        <w:pStyle w:val="ListBullet"/>
      </w:pPr>
      <w:r>
        <w:rPr>
          <w:b/>
        </w:rPr>
        <w:t xml:space="preserve">Contexto da prática: </w:t>
      </w:r>
      <w:r>
        <w:t>Onde os textos são recebidos e reinterpretados (caps. 6 e 7). Os contextos dos resultados e da estratégia política foram acrescentados por Ball depois.</w:t>
      </w:r>
    </w:p>
    <w:p>
      <w:pPr>
        <w:pStyle w:val="ListBullet"/>
      </w:pPr>
      <w:r>
        <w:rPr>
          <w:b/>
        </w:rPr>
        <w:t xml:space="preserve">Atuação ou encenação (enactment): </w:t>
      </w:r>
      <w:r>
        <w:t>Interpretar (ler e produzir sentidos) e traduzir (transformar a leitura em planejamentos, rotinas, registros e atividades). "A política é complexamente codificada [...] e é decodificada (e recodificada)" (BMB, 2016, p. 14).</w:t>
      </w:r>
    </w:p>
    <w:p>
      <w:pPr>
        <w:pStyle w:val="ListBullet"/>
      </w:pPr>
      <w:r>
        <w:rPr>
          <w:b/>
        </w:rPr>
        <w:t xml:space="preserve">Quatro dimensões do contexto: </w:t>
      </w:r>
      <w:r>
        <w:t>Situada (localidade, história, público), culturas profissionais, material (edifícios, orçamento, tecnologia, infraestrutura) e externa (pressões e apoios) (BMB, 2016, p. 38). O contexto é "uma força ‘ativa’" (p. 42).</w:t>
      </w:r>
    </w:p>
    <w:p>
      <w:pPr>
        <w:pStyle w:val="ListBullet"/>
      </w:pPr>
      <w:r>
        <w:rPr>
          <w:b/>
        </w:rPr>
        <w:t xml:space="preserve">Restrições e possibilidades materiais: </w:t>
      </w:r>
      <w:r>
        <w:t>As políticas "são intervenções textuais, mas carregam também restrições e possibilidades materiais" (BOWE; BALL; GOLD, 1992, p. 21).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Bowe, Ball e Gold (1992, p. 21-22).</w:t>
      </w:r>
    </w:p>
    <w:p>
      <w:pPr>
        <w:pStyle w:val="ListBullet"/>
      </w:pPr>
      <w:r>
        <w:t>Mainardes (2006).</w:t>
      </w:r>
    </w:p>
    <w:p>
      <w:pPr>
        <w:pStyle w:val="ListBullet"/>
      </w:pPr>
      <w:r>
        <w:t>Ball, Maguire e Braun (2016, p. 14, 38, 42, 48).</w:t>
      </w:r>
    </w:p>
    <w:p>
      <w:pPr>
        <w:pStyle w:val="ListBullet"/>
      </w:pPr>
      <w:r>
        <w:t>Ball (2011, p. 38): trajetória da política.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3, seções 3.1 e 3.2.</w:t>
      </w:r>
    </w:p>
    <w:p>
      <w:pPr>
        <w:pStyle w:val="ListBullet"/>
      </w:pPr>
      <w:r>
        <w:t>Cap. 4, seção 4.2 (operacionalização de cada contexto e questões analíticas de Mainardes, 2006).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Qual a diferença entre interpretação e tradução?</w:t>
      </w:r>
    </w:p>
    <w:p>
      <w:pPr>
        <w:pStyle w:val="ListBullet"/>
      </w:pPr>
      <w:r>
        <w:rPr>
          <w:i/>
        </w:rPr>
        <w:t>Por que a teoria, construída em escolas inglesas, serve a uma escola de Pipa? (3.2: o compromisso dos profissionais quando tudo começa pela falta).</w:t>
      </w:r>
    </w:p>
    <w:p>
      <w:pPr>
        <w:pStyle w:val="Heading2"/>
      </w:pPr>
      <w:r>
        <w:t>Lâmina 14 · No contexto da prática</w:t>
      </w:r>
    </w:p>
    <w:p>
      <w:r>
        <w:rPr>
          <w:b/>
        </w:rPr>
        <w:t xml:space="preserve">Ideia central: </w:t>
      </w:r>
      <w:r>
        <w:t>Três noções explicam o que filtra, o que pressiona e o que tensiona a atuação.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Culturas profissionais: </w:t>
      </w:r>
      <w:r>
        <w:t>"Crenças, valores, hábitos e formas de fazer as coisas assumidas pelas comunidades de professores" (HARGREAVES, 2005, p. 189). Conteúdo (pressupostos e valores) e forma (padrões de relação).</w:t>
      </w:r>
    </w:p>
    <w:p>
      <w:pPr>
        <w:pStyle w:val="ListBullet"/>
      </w:pPr>
      <w:r>
        <w:rPr>
          <w:b/>
        </w:rPr>
        <w:t xml:space="preserve">Formas das culturas: </w:t>
      </w:r>
      <w:r>
        <w:t>Individualismo, colaboração, colegialidade artificial e balcanização (HARGREAVES, 2005, p. 189-191).</w:t>
      </w:r>
    </w:p>
    <w:p>
      <w:pPr>
        <w:pStyle w:val="ListBullet"/>
      </w:pPr>
      <w:r>
        <w:rPr>
          <w:b/>
        </w:rPr>
        <w:t xml:space="preserve">Performatividade: </w:t>
      </w:r>
      <w:r>
        <w:t>Cultura de metas, comparações e prestação de contas (BALL, 2004); "regime de prestação de contas que emprega julgamentos, comparações e exposições como meios de controle, desgaste e mudança" (BALL, 2008, p. 49). Opera por tecnologias políticas (p. 41).</w:t>
      </w:r>
    </w:p>
    <w:p>
      <w:pPr>
        <w:pStyle w:val="ListBullet"/>
      </w:pPr>
      <w:r>
        <w:rPr>
          <w:b/>
        </w:rPr>
        <w:t xml:space="preserve">Fabricação: </w:t>
      </w:r>
      <w:r>
        <w:t>Versões da escola produzidas para serem vistas e avaliadas, sem supor má-fé (BALL, 2002). Na PNED: autodiagnóstico e monitoramento (art. 3º, § 1º).</w:t>
      </w:r>
    </w:p>
    <w:p>
      <w:pPr>
        <w:pStyle w:val="ListBullet"/>
      </w:pPr>
      <w:r>
        <w:rPr>
          <w:b/>
        </w:rPr>
        <w:t xml:space="preserve">Poder e resistência: </w:t>
      </w:r>
      <w:r>
        <w:t>Relações de poder "não são unívocas" e têm "focos de instabilidade" (FOUCAULT, 1999, p. 29). A política como "economia de discursos da verdade" (FOUCAULT, 1980, p. 93 apud BMB, 2016, p. 21).</w:t>
      </w:r>
    </w:p>
    <w:p>
      <w:pPr>
        <w:pStyle w:val="ListBullet"/>
      </w:pPr>
      <w:r>
        <w:rPr>
          <w:b/>
        </w:rPr>
        <w:t xml:space="preserve">Contrapesos: </w:t>
      </w:r>
      <w:r>
        <w:t>Contra culpar a escola e o professor (BALL, 2011, p. 36, 45-46) e contra os "heróis althusserianos" (p. 46); sem condições, o professor "se move menos eficazmente" (FREIRE, 2019, p. 64-65).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Hargreaves (2005).</w:t>
      </w:r>
    </w:p>
    <w:p>
      <w:pPr>
        <w:pStyle w:val="ListBullet"/>
      </w:pPr>
      <w:r>
        <w:t>Ball (2002; 2004; 2008; 2011).</w:t>
      </w:r>
    </w:p>
    <w:p>
      <w:pPr>
        <w:pStyle w:val="ListBullet"/>
      </w:pPr>
      <w:r>
        <w:t>Foucault (1999).</w:t>
      </w:r>
    </w:p>
    <w:p>
      <w:pPr>
        <w:pStyle w:val="ListBullet"/>
      </w:pPr>
      <w:r>
        <w:t>Freire (2019).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3, seções 3.3, 3.4 e 3.5.</w:t>
      </w:r>
    </w:p>
    <w:p>
      <w:pPr>
        <w:pStyle w:val="ListBullet"/>
      </w:pPr>
      <w:r>
        <w:t>Cap. 4, seção 4.3.1 (critérios de leitura das formas de atuação).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Quando uma prática distante da norma é resistência e quando é falta de condições? (3.5 e 4.3.1).</w:t>
      </w:r>
    </w:p>
    <w:p>
      <w:pPr>
        <w:pStyle w:val="Heading2"/>
      </w:pPr>
      <w:r>
        <w:t>Lâmina 15 · Onde a política é posta em ato</w:t>
      </w:r>
    </w:p>
    <w:p>
      <w:r>
        <w:rPr>
          <w:b/>
        </w:rPr>
        <w:t xml:space="preserve">Ideia central: </w:t>
      </w:r>
      <w:r>
        <w:t>Território, lugar e a formulação própria da tese.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Território usado: </w:t>
      </w:r>
      <w:r>
        <w:t>O território tomado pelas relações, usos e conflitos (SANTOS, 1999, p. 19).</w:t>
      </w:r>
    </w:p>
    <w:p>
      <w:pPr>
        <w:pStyle w:val="ListBullet"/>
      </w:pPr>
      <w:r>
        <w:rPr>
          <w:b/>
        </w:rPr>
        <w:t xml:space="preserve">Rugosidades: </w:t>
      </w:r>
      <w:r>
        <w:t>"O que fica do passado como forma, espaço construído, paisagem" (SANTOS, 2006, p. 92).</w:t>
      </w:r>
    </w:p>
    <w:p>
      <w:pPr>
        <w:pStyle w:val="ListBullet"/>
      </w:pPr>
      <w:r>
        <w:rPr>
          <w:b/>
        </w:rPr>
        <w:t xml:space="preserve">Lugar: </w:t>
      </w:r>
      <w:r>
        <w:t>"Um encontro de trajetórias" (MASSEY, 2008, p. 204); espaço como esfera da multiplicidade (p. 29).</w:t>
      </w:r>
    </w:p>
    <w:p>
      <w:pPr>
        <w:pStyle w:val="ListBullet"/>
      </w:pPr>
      <w:r>
        <w:rPr>
          <w:b/>
        </w:rPr>
        <w:t xml:space="preserve">Habitar: </w:t>
      </w:r>
      <w:r>
        <w:t>"Tem o significado de estar presente" e "natureza relacional" (SCHLEMMER; BACKES; PALAGI, 2021, p. 15); Educação OnLIFE (p. 24); habitar como prática comunicativa (p. 17).</w:t>
      </w:r>
    </w:p>
    <w:p>
      <w:pPr>
        <w:pStyle w:val="ListBullet"/>
      </w:pPr>
      <w:r>
        <w:rPr>
          <w:b/>
        </w:rPr>
        <w:t xml:space="preserve">Habitar atópico e ecossistemas informativos: </w:t>
      </w:r>
      <w:r>
        <w:t>Habitar realizado por interfaces, em rede (DI FELICE, 2009, p. 20, citação indireta). Escrita artificial e "novo modo de habitar" (p. 102).</w:t>
      </w:r>
    </w:p>
    <w:p>
      <w:pPr>
        <w:pStyle w:val="ListBullet"/>
      </w:pPr>
      <w:r>
        <w:rPr>
          <w:b/>
        </w:rPr>
        <w:t xml:space="preserve">Habitar o digital: </w:t>
      </w:r>
      <w:r>
        <w:t>Formulação da tese: maneiras pelas quais as tecnologias digitais atravessam os espaços, as relações e as práticas cotidianas de um território, produzindo possibilidades desiguais de acesso, participação e apropriação.</w:t>
      </w:r>
    </w:p>
    <w:p>
      <w:pPr>
        <w:pStyle w:val="ListBullet"/>
      </w:pPr>
      <w:r>
        <w:rPr>
          <w:b/>
        </w:rPr>
        <w:t xml:space="preserve">Plataformas, dados e solucionismo: </w:t>
      </w:r>
      <w:r>
        <w:t>Capitalismo de vigilância (ZUBOFF, 2021, n. p.); privacidade como adversária do mercado de dados (SILVEIRA, 2017, p. 34); solucionismo (MOROZOV, 2018, p. 64, 88, 110); sujeitos como "produtores ativos de cultura" (PRETTO; CORDEIRO; OLIVEIRA, 2013, p. 35). Contexto teórico, sem virar categoria de análise; entra pelo Eixo 6 da entrevista.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Santos (1999; 2006).</w:t>
      </w:r>
    </w:p>
    <w:p>
      <w:pPr>
        <w:pStyle w:val="ListBullet"/>
      </w:pPr>
      <w:r>
        <w:t>Massey (2008).</w:t>
      </w:r>
    </w:p>
    <w:p>
      <w:pPr>
        <w:pStyle w:val="ListBullet"/>
      </w:pPr>
      <w:r>
        <w:t>Schlemmer, Backes e Palagi (2021).</w:t>
      </w:r>
    </w:p>
    <w:p>
      <w:pPr>
        <w:pStyle w:val="ListBullet"/>
      </w:pPr>
      <w:r>
        <w:t>Di Felice (2009).</w:t>
      </w:r>
    </w:p>
    <w:p>
      <w:pPr>
        <w:pStyle w:val="ListBullet"/>
      </w:pPr>
      <w:r>
        <w:t>Zuboff (2021); Silveira (2017); Morozov (2018); Pretto, Cordeiro e Oliveira (2013).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3, seções 3.6 e 3.6.1.</w:t>
      </w:r>
    </w:p>
    <w:p>
      <w:pPr>
        <w:pStyle w:val="ListBullet"/>
      </w:pPr>
      <w:r>
        <w:t>Cap. 6, seção 6.4.2 (as formas de habitar o digital em Pipa).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Habitar o digital é sinônimo de inclusão digital? (não: vai além de acesso e posse, 3.6).</w:t>
      </w:r>
    </w:p>
    <w:p>
      <w:pPr>
        <w:pStyle w:val="Heading2"/>
      </w:pPr>
      <w:r>
        <w:t>Lâmina 16 · Divisor: Metodologia</w:t>
      </w:r>
    </w:p>
    <w:p>
      <w:r>
        <w:rPr>
          <w:b/>
        </w:rPr>
        <w:t xml:space="preserve">Ideia central: </w:t>
      </w:r>
      <w:r>
        <w:t>Abre o capítulo 4.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4.</w:t>
      </w:r>
    </w:p>
    <w:p>
      <w:pPr>
        <w:pStyle w:val="Heading2"/>
      </w:pPr>
      <w:r>
        <w:t>Lâmina 17 · Desenho e participantes</w:t>
      </w:r>
    </w:p>
    <w:p>
      <w:r>
        <w:rPr>
          <w:b/>
        </w:rPr>
        <w:t xml:space="preserve">Ideia central: </w:t>
      </w:r>
      <w:r>
        <w:t>Estudo de caso qualitativo com 24 profissionais e um técnico da SME.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Abordagem qualitativa: </w:t>
      </w:r>
      <w:r>
        <w:t>Trabalha com sentidos, experiências, valores e interpretações (MINAYO, 2009).</w:t>
      </w:r>
    </w:p>
    <w:p>
      <w:pPr>
        <w:pStyle w:val="ListBullet"/>
      </w:pPr>
      <w:r>
        <w:rPr>
          <w:b/>
        </w:rPr>
        <w:t xml:space="preserve">Estudo de caso: </w:t>
      </w:r>
      <w:r>
        <w:t>Fenômeno contemporâneo em contexto real, com limites pouco definidos (YIN, 2001).</w:t>
      </w:r>
    </w:p>
    <w:p>
      <w:pPr>
        <w:pStyle w:val="ListBullet"/>
      </w:pPr>
      <w:r>
        <w:rPr>
          <w:b/>
        </w:rPr>
        <w:t xml:space="preserve">Delimitação sem observação de aula: </w:t>
      </w:r>
      <w:r>
        <w:t>Mesma delimitação de Ball, Maguire e Braun: "temos de confiar nos relatos dos professores" (2016, p. 49).</w:t>
      </w:r>
    </w:p>
    <w:p>
      <w:pPr>
        <w:pStyle w:val="ListBullet"/>
      </w:pPr>
      <w:r>
        <w:rPr>
          <w:b/>
        </w:rPr>
        <w:t xml:space="preserve">Análise temática reflexiva: </w:t>
      </w:r>
      <w:r>
        <w:t>A subjetividade de quem analisa é recurso e precisa ser explicitada (BRAUN; CLARKE, 2006, 2019).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Minayo (2009).</w:t>
      </w:r>
    </w:p>
    <w:p>
      <w:pPr>
        <w:pStyle w:val="ListBullet"/>
      </w:pPr>
      <w:r>
        <w:t>Yin (2001).</w:t>
      </w:r>
    </w:p>
    <w:p>
      <w:pPr>
        <w:pStyle w:val="ListBullet"/>
      </w:pPr>
      <w:r>
        <w:t>Braun e Clarke (2006; 2019).</w:t>
      </w:r>
    </w:p>
    <w:p>
      <w:pPr>
        <w:pStyle w:val="ListBullet"/>
      </w:pPr>
      <w:r>
        <w:t>Tibau do Sul (2026), relatório de turmas.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4, seções 4.1 (posicionamento, abordagem, estudo de caso) e 4.4.1 (participantes).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Como a proximidade da pesquisadora com a rede é controlada? (4.1.2).</w:t>
      </w:r>
    </w:p>
    <w:p>
      <w:pPr>
        <w:pStyle w:val="Heading2"/>
      </w:pPr>
      <w:r>
        <w:t>Lâmina 18 · Construção dos dados</w:t>
      </w:r>
    </w:p>
    <w:p>
      <w:r>
        <w:rPr>
          <w:b/>
        </w:rPr>
        <w:t xml:space="preserve">Ideia central: </w:t>
      </w:r>
      <w:r>
        <w:t>Cinco movimentos e o campo; documentos já solicitados à direção e à Secretaria.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Análise documental: </w:t>
      </w:r>
      <w:r>
        <w:t>Lida em diálogo com a ACP, por matriz orientada pelos objetivos (4.4.3).</w:t>
      </w:r>
    </w:p>
    <w:p>
      <w:pPr>
        <w:pStyle w:val="ListBullet"/>
      </w:pPr>
      <w:r>
        <w:rPr>
          <w:b/>
        </w:rPr>
        <w:t xml:space="preserve">Registro iconográfico: </w:t>
      </w:r>
      <w:r>
        <w:t>Imagens como evidência da configuração material visível, sem valor de prova sobre práticas (4.4.4).</w:t>
      </w:r>
    </w:p>
    <w:p>
      <w:pPr>
        <w:pStyle w:val="ListBullet"/>
      </w:pPr>
      <w:r>
        <w:rPr>
          <w:b/>
        </w:rPr>
        <w:t xml:space="preserve">Lentes sensibilizadoras: </w:t>
      </w:r>
      <w:r>
        <w:t>Conceitos que orientam a primeira leitura dos dados sem se tornarem categorias fechadas (4.5.1).</w:t>
      </w:r>
    </w:p>
    <w:p>
      <w:pPr>
        <w:pStyle w:val="ListBullet"/>
      </w:pPr>
      <w:r>
        <w:rPr>
          <w:b/>
        </w:rPr>
        <w:t xml:space="preserve">Ética: </w:t>
      </w:r>
      <w:r>
        <w:t>Emenda ao protocolo aprovado no CEP; TCLE; pseudônimos; Res. CNS nº 466/2012 e nº 510/2016.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Mainardes (2006).</w:t>
      </w:r>
    </w:p>
    <w:p>
      <w:pPr>
        <w:pStyle w:val="ListBullet"/>
      </w:pPr>
      <w:r>
        <w:t>Braun e Clarke (2006; 2019).</w:t>
      </w:r>
    </w:p>
    <w:p>
      <w:pPr>
        <w:pStyle w:val="ListBullet"/>
      </w:pPr>
      <w:r>
        <w:t>BRASIL (2012; 2016).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4, seções 4.4.2 a 4.4.6, 4.5.1, 4.5.2 e 4.5.4 (cronograma).</w:t>
      </w:r>
    </w:p>
    <w:p>
      <w:pPr>
        <w:pStyle w:val="ListBullet"/>
      </w:pPr>
      <w:r>
        <w:t>Apêndices D (questionário) e E (roteiros).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Qual a função do questionário, se não há generalização estatística? (caracterizar e contextualizar, 4.4.5).</w:t>
      </w:r>
    </w:p>
    <w:p>
      <w:pPr>
        <w:pStyle w:val="Heading2"/>
      </w:pPr>
      <w:r>
        <w:t>Lâmina 19 · Divisor: Agenda global e PNED</w:t>
      </w:r>
    </w:p>
    <w:p>
      <w:r>
        <w:rPr>
          <w:b/>
        </w:rPr>
        <w:t xml:space="preserve">Ideia central: </w:t>
      </w:r>
      <w:r>
        <w:t>Abre o capítulo 5.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5.</w:t>
      </w:r>
    </w:p>
    <w:p>
      <w:pPr>
        <w:pStyle w:val="Heading2"/>
      </w:pPr>
      <w:r>
        <w:t>Lâmina 20 · O que outros territórios nos ensinam</w:t>
      </w:r>
    </w:p>
    <w:p>
      <w:r>
        <w:rPr>
          <w:b/>
        </w:rPr>
        <w:t xml:space="preserve">Ideia central: </w:t>
      </w:r>
      <w:r>
        <w:t>Mapa de 20 experiências (Américas, Europa e Brasil) com o foco de cada política.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Agendas internacionais: </w:t>
      </w:r>
      <w:r>
        <w:t>UNESCO (2023): condições e interação com professores; OCDE (2015): dúvida sobre a tradução direta do investimento em aprendizagem; Banco Mundial (2020): começa pela finalidade educacional.</w:t>
      </w:r>
    </w:p>
    <w:p>
      <w:pPr>
        <w:pStyle w:val="ListBullet"/>
      </w:pPr>
      <w:r>
        <w:rPr>
          <w:b/>
        </w:rPr>
        <w:t xml:space="preserve">Perspectiva comparada: </w:t>
      </w:r>
      <w:r>
        <w:t>Como uma mesma diretriz muda de forma ao encontrar outro sistema, outras instituições e outro território.</w:t>
      </w:r>
    </w:p>
    <w:p>
      <w:pPr>
        <w:pStyle w:val="ListBullet"/>
      </w:pPr>
      <w:r>
        <w:rPr>
          <w:b/>
        </w:rPr>
        <w:t xml:space="preserve">Fossos de acesso, desenho e uso: </w:t>
      </w:r>
      <w:r>
        <w:t>Distinção do National Educational Technology Plan (EUA, 2024).</w:t>
      </w:r>
    </w:p>
    <w:p>
      <w:pPr>
        <w:pStyle w:val="ListBullet"/>
      </w:pPr>
      <w:r>
        <w:rPr>
          <w:b/>
        </w:rPr>
        <w:t xml:space="preserve">Categoria principal (cor do mapa): </w:t>
      </w:r>
      <w:r>
        <w:t>A cor de cada país indica a categoria que a experiência mais informa.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UNESCO (2023).</w:t>
      </w:r>
    </w:p>
    <w:p>
      <w:pPr>
        <w:pStyle w:val="ListBullet"/>
      </w:pPr>
      <w:r>
        <w:t>OCDE (2015).</w:t>
      </w:r>
    </w:p>
    <w:p>
      <w:pPr>
        <w:pStyle w:val="ListBullet"/>
      </w:pPr>
      <w:r>
        <w:t>Banco Mundial (2020).</w:t>
      </w:r>
    </w:p>
    <w:p>
      <w:pPr>
        <w:pStyle w:val="ListBullet"/>
      </w:pPr>
      <w:r>
        <w:t>Documentos oficiais de cada país (Quadros 10 e 11).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5, seções 5.1, 5.2.1 (Europa, Quadro 10) e 5.2.2 (Américas, Quadro 11).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Por que comparar com outros países, se o objeto é uma escola? (contexto de influência e categorias, 5.2.3).</w:t>
      </w:r>
    </w:p>
    <w:p>
      <w:pPr>
        <w:pStyle w:val="Heading2"/>
      </w:pPr>
      <w:r>
        <w:t>Lâmina 21 · O que a comparação traz para a tese</w:t>
      </w:r>
    </w:p>
    <w:p>
      <w:r>
        <w:rPr>
          <w:b/>
        </w:rPr>
        <w:t xml:space="preserve">Ideia central: </w:t>
      </w:r>
      <w:r>
        <w:t>Cinco categorias sensibilizadoras e a pergunta que nenhum caso responde.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Governança: </w:t>
      </w:r>
      <w:r>
        <w:t>Coordenação entre escalas de governo (União, estado, município).</w:t>
      </w:r>
    </w:p>
    <w:p>
      <w:pPr>
        <w:pStyle w:val="ListBullet"/>
      </w:pPr>
      <w:r>
        <w:rPr>
          <w:b/>
        </w:rPr>
        <w:t xml:space="preserve">Formação: </w:t>
      </w:r>
      <w:r>
        <w:t>Mediação dos profissionais como condição do uso.</w:t>
      </w:r>
    </w:p>
    <w:p>
      <w:pPr>
        <w:pStyle w:val="ListBullet"/>
      </w:pPr>
      <w:r>
        <w:rPr>
          <w:b/>
        </w:rPr>
        <w:t xml:space="preserve">Infraestrutura: </w:t>
      </w:r>
      <w:r>
        <w:t>Condição relevante e insuficiente para a integração pedagógica.</w:t>
      </w:r>
    </w:p>
    <w:p>
      <w:pPr>
        <w:pStyle w:val="ListBullet"/>
      </w:pPr>
      <w:r>
        <w:rPr>
          <w:b/>
        </w:rPr>
        <w:t xml:space="preserve">Continuidade institucional: </w:t>
      </w:r>
      <w:r>
        <w:t>A continuidade favorece a institucionalização sem impedir rupturas.</w:t>
      </w:r>
    </w:p>
    <w:p>
      <w:pPr>
        <w:pStyle w:val="ListBullet"/>
      </w:pPr>
      <w:r>
        <w:rPr>
          <w:b/>
        </w:rPr>
        <w:t xml:space="preserve">Cultura digital: </w:t>
      </w:r>
      <w:r>
        <w:t>Educação digital além do domínio técnico; dialoga com o inciso III do eixo.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Quadro 12 do cap. 5, construído a partir dos Quadros 10 e 11.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5, seção 5.2.3 e Quadro 12.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As categorias são padrões a confirmar? (não: lentes heurísticas, abertas ao campo, 5.2.3).</w:t>
      </w:r>
    </w:p>
    <w:p>
      <w:pPr>
        <w:pStyle w:val="Heading2"/>
      </w:pPr>
      <w:r>
        <w:t>Lâmina 22 · A PNED e o vazio material</w:t>
      </w:r>
    </w:p>
    <w:p>
      <w:r>
        <w:rPr>
          <w:b/>
        </w:rPr>
        <w:t xml:space="preserve">Ideia central: </w:t>
      </w:r>
      <w:r>
        <w:t>A exigência curricular tem data; os meios dependem da capacidade de cada ente.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Instância de articulação: </w:t>
      </w:r>
      <w:r>
        <w:t>A PNED não substitui outras políticas (art. 1º, § 3º).</w:t>
      </w:r>
    </w:p>
    <w:p>
      <w:pPr>
        <w:pStyle w:val="ListBullet"/>
      </w:pPr>
      <w:r>
        <w:rPr>
          <w:b/>
        </w:rPr>
        <w:t xml:space="preserve">Limites orçamentários: </w:t>
      </w:r>
      <w:r>
        <w:t>A inclusão digital, onde está a conectividade das escolas, segue "dentro dos limites orçamentários" de cada ente (art. 2º).</w:t>
      </w:r>
    </w:p>
    <w:p>
      <w:pPr>
        <w:pStyle w:val="ListBullet"/>
      </w:pPr>
      <w:r>
        <w:rPr>
          <w:b/>
        </w:rPr>
        <w:t xml:space="preserve">Fontes de recursos: </w:t>
      </w:r>
      <w:r>
        <w:t>Art. 11: dotações dos entes, doações, Fust e Funttel; nenhum fundo próprio nem transferência obrigatória aos municípios.</w:t>
      </w:r>
    </w:p>
    <w:p>
      <w:pPr>
        <w:pStyle w:val="ListBullet"/>
      </w:pPr>
      <w:r>
        <w:rPr>
          <w:b/>
        </w:rPr>
        <w:t xml:space="preserve">Vazio material: </w:t>
      </w:r>
      <w:r>
        <w:t>Formulação da tese: falta de mecanismo federativo obrigatório de financiamento que deixa a chegada dos meios na dependência de cada rede. Proposição a verificar no campo.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BRASIL (2023, arts. 1º, 2º, 3º e 11).</w:t>
      </w:r>
    </w:p>
    <w:p>
      <w:pPr>
        <w:pStyle w:val="ListBullet"/>
      </w:pPr>
      <w:r>
        <w:t>BRASIL (2025a, art. 36).</w:t>
      </w:r>
    </w:p>
    <w:p>
      <w:pPr>
        <w:pStyle w:val="ListBullet"/>
      </w:pPr>
      <w:r>
        <w:t>Mainardes (2006, Anexo 1).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5, seções 5.3 (trajetória brasileira), 5.4, 5.5 e 5.6.</w:t>
      </w:r>
    </w:p>
    <w:p>
      <w:pPr>
        <w:pStyle w:val="ListBullet"/>
      </w:pPr>
      <w:r>
        <w:t>Cap. 1, seção 1.2 (problematização).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Como separar o desenho da lei da capacidade fiscal do município? (dados de receita e gasto, ainda a reunir, 5.5).</w:t>
      </w:r>
    </w:p>
    <w:p>
      <w:pPr>
        <w:pStyle w:val="Heading2"/>
      </w:pPr>
      <w:r>
        <w:t>Lâmina 23 · Divisor: Território e escola</w:t>
      </w:r>
    </w:p>
    <w:p>
      <w:r>
        <w:rPr>
          <w:b/>
        </w:rPr>
        <w:t xml:space="preserve">Ideia central: </w:t>
      </w:r>
      <w:r>
        <w:t>Abre o capítulo 6.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6.</w:t>
      </w:r>
    </w:p>
    <w:p>
      <w:pPr>
        <w:pStyle w:val="Heading2"/>
      </w:pPr>
      <w:r>
        <w:t>Lâmina 24 · Pipa</w:t>
      </w:r>
    </w:p>
    <w:p>
      <w:r>
        <w:rPr>
          <w:b/>
        </w:rPr>
        <w:t xml:space="preserve">Ideia central: </w:t>
      </w:r>
      <w:r>
        <w:t>De comunidade agrícola e pesqueira a polo turístico.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Transformação do distrito: </w:t>
      </w:r>
      <w:r>
        <w:t>Anos 1970 sem energia elétrica e água encanada; surfistas desde meados da década; divulgação intensa nos anos 1990 (AIRES, 2012, p. 80-82).</w:t>
      </w:r>
    </w:p>
    <w:p>
      <w:pPr>
        <w:pStyle w:val="ListBullet"/>
      </w:pPr>
      <w:r>
        <w:rPr>
          <w:b/>
        </w:rPr>
        <w:t xml:space="preserve">Agência dos nativos: </w:t>
      </w:r>
      <w:r>
        <w:t>A população nativa criou "mecanismos de reformulações materiais e simbólicas" (AIRES, 2012, p. 10).</w:t>
      </w:r>
    </w:p>
    <w:p>
      <w:pPr>
        <w:pStyle w:val="ListBullet"/>
      </w:pPr>
      <w:r>
        <w:rPr>
          <w:b/>
        </w:rPr>
        <w:t xml:space="preserve">Contemporaneidade: </w:t>
      </w:r>
      <w:r>
        <w:t>Massey critica a operação que "transforma a geografia em história, o espaço em tempo" (2008, p. 24).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Aires (2012).</w:t>
      </w:r>
    </w:p>
    <w:p>
      <w:pPr>
        <w:pStyle w:val="ListBullet"/>
      </w:pPr>
      <w:r>
        <w:t>Santos (1999; 2006).</w:t>
      </w:r>
    </w:p>
    <w:p>
      <w:pPr>
        <w:pStyle w:val="ListBullet"/>
      </w:pPr>
      <w:r>
        <w:t>Massey (2008).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6, seção 6.1 e Apêndice F (caderno iconográfico).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O que o registro iconográfico pode e não pode provar? (4.4.4 e 6.1).</w:t>
      </w:r>
    </w:p>
    <w:p>
      <w:pPr>
        <w:pStyle w:val="Heading2"/>
      </w:pPr>
      <w:r>
        <w:t>Lâmina 25 · A escola</w:t>
      </w:r>
    </w:p>
    <w:p>
      <w:r>
        <w:rPr>
          <w:b/>
        </w:rPr>
        <w:t xml:space="preserve">Ideia central: </w:t>
      </w:r>
      <w:r>
        <w:t>Laboratório desligado, salas sem telas e alfabeto móvel feito à mão.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Sistemas de objetos e de ações: </w:t>
      </w:r>
      <w:r>
        <w:t>Os objetos técnicos condicionam as ações possíveis (SANTOS, 2006, p. 39).</w:t>
      </w:r>
    </w:p>
    <w:p>
      <w:pPr>
        <w:pStyle w:val="ListBullet"/>
      </w:pPr>
      <w:r>
        <w:rPr>
          <w:b/>
        </w:rPr>
        <w:t xml:space="preserve">Rugosidade tecnológica: </w:t>
      </w:r>
      <w:r>
        <w:t>Formulação da tese: equipamentos de uma iniciativa anterior à lei chamados a nova função; a forma "permanece aguardando o próximo movimento dinâmico da sociedade" (SANTOS, 2012, p. 74-75).</w:t>
      </w:r>
    </w:p>
    <w:p>
      <w:pPr>
        <w:pStyle w:val="ListBullet"/>
      </w:pPr>
      <w:r>
        <w:rPr>
          <w:b/>
        </w:rPr>
        <w:t xml:space="preserve">Passado técnico da forma: </w:t>
      </w:r>
      <w:r>
        <w:t>"Uma realidade a ser levada em consideração" (SANTOS, 2012, p. 73).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Santos (2006, p. 39, 92); Santos (2012, p. 73-75).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6, seções 6.2 e 6.3.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O laboratório desligado prova ausência de uso? (não: depende dos cadernos de uso e das entrevistas, 6.3).</w:t>
      </w:r>
    </w:p>
    <w:p>
      <w:pPr>
        <w:pStyle w:val="Heading2"/>
      </w:pPr>
      <w:r>
        <w:t>Lâmina 26 · Tese de partida e formulações</w:t>
      </w:r>
    </w:p>
    <w:p>
      <w:r>
        <w:rPr>
          <w:b/>
        </w:rPr>
        <w:t xml:space="preserve">Ideia central: </w:t>
      </w:r>
      <w:r>
        <w:t>A forma da PNED na escola resulta da relação entre o que ela prescreve e as condições de atuação.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Tese de partida: </w:t>
      </w:r>
      <w:r>
        <w:t>Hipótese interpretativa que orienta o estudo, a confrontar com os dados.</w:t>
      </w:r>
    </w:p>
    <w:p>
      <w:pPr>
        <w:pStyle w:val="ListBullet"/>
      </w:pPr>
      <w:r>
        <w:rPr>
          <w:b/>
        </w:rPr>
        <w:t xml:space="preserve">Três formulações: </w:t>
      </w:r>
      <w:r>
        <w:t>Habitar o digital (3.6), rugosidade tecnológica (cap. 6) e vazio material (cap. 5).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Bowe, Ball e Gold (1992, p. 21).</w:t>
      </w:r>
    </w:p>
    <w:p>
      <w:pPr>
        <w:pStyle w:val="ListBullet"/>
      </w:pPr>
      <w:r>
        <w:t>Mainardes (2006).</w:t>
      </w:r>
    </w:p>
    <w:p>
      <w:pPr>
        <w:pStyle w:val="ListBullet"/>
      </w:pPr>
      <w:r>
        <w:t>Ball, Maguire e Braun (2016).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1, seção 1.5.</w:t>
      </w:r>
    </w:p>
    <w:p>
      <w:pPr>
        <w:pStyle w:val="ListBullet"/>
      </w:pPr>
      <w:r>
        <w:t>Cap. 4, seção 4.3.1.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A tese pode ser refutada pelos dados? (sim: as formulações podem ser revistas ou abandonadas).</w:t>
      </w:r>
    </w:p>
    <w:p>
      <w:pPr>
        <w:pStyle w:val="Heading2"/>
      </w:pPr>
      <w:r>
        <w:t>Lâmina 27 · A questão aberta e os próximos passos</w:t>
      </w:r>
    </w:p>
    <w:p>
      <w:r>
        <w:rPr>
          <w:b/>
        </w:rPr>
        <w:t xml:space="preserve">Ideia central: </w:t>
      </w:r>
      <w:r>
        <w:t>Quem paga, no cotidiano escolar, pelo vazio material e formativo?</w:t>
      </w:r>
    </w:p>
    <w:p>
      <w:pPr>
        <w:pStyle w:val="Heading3"/>
      </w:pPr>
      <w:r>
        <w:t>Conceitos</w:t>
      </w:r>
    </w:p>
    <w:p>
      <w:pPr>
        <w:pStyle w:val="ListBullet"/>
      </w:pPr>
      <w:r>
        <w:rPr>
          <w:b/>
        </w:rPr>
        <w:t xml:space="preserve">Vazio formativo: </w:t>
      </w:r>
      <w:r>
        <w:t>Expressão usada na apresentação para nomear a formação tratada pela lei como "ação de promoção" (art. 3º, § 1º, IX e X). Ainda não está definida nos capítulos.</w:t>
      </w:r>
    </w:p>
    <w:p>
      <w:pPr>
        <w:pStyle w:val="ListBullet"/>
      </w:pPr>
      <w:r>
        <w:rPr>
          <w:b/>
        </w:rPr>
        <w:t xml:space="preserve">Próximos passos: </w:t>
      </w:r>
      <w:r>
        <w:t>Emenda ao CEP; campo; análise documental (documentos já solicitados à direção e ao técnico da Secretaria); capítulo 7.</w:t>
      </w:r>
    </w:p>
    <w:p>
      <w:pPr>
        <w:pStyle w:val="Heading3"/>
      </w:pPr>
      <w:r>
        <w:t>Autores e obras</w:t>
      </w:r>
    </w:p>
    <w:p>
      <w:pPr>
        <w:pStyle w:val="ListBullet"/>
      </w:pPr>
      <w:r>
        <w:t>BRASIL (2023, art. 3º, § 1º).</w:t>
      </w:r>
    </w:p>
    <w:p>
      <w:pPr>
        <w:pStyle w:val="ListBullet"/>
      </w:pPr>
      <w:r>
        <w:t>Nunes (2024) e Tussi (2023), sobre formação, na RSL.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Cap. 5, seções 5.5.1 e 5.6.</w:t>
      </w:r>
    </w:p>
    <w:p>
      <w:pPr>
        <w:pStyle w:val="ListBullet"/>
      </w:pPr>
      <w:r>
        <w:t>Cap. 2, seção 2.5.2 (o que os profissionais fazem quando a formação não chega).</w:t>
      </w:r>
    </w:p>
    <w:p>
      <w:pPr>
        <w:pStyle w:val="Heading3"/>
      </w:pPr>
      <w:r>
        <w:t>Para estudar</w:t>
      </w:r>
    </w:p>
    <w:p>
      <w:pPr>
        <w:pStyle w:val="ListBullet"/>
      </w:pPr>
      <w:r>
        <w:rPr>
          <w:i/>
        </w:rPr>
        <w:t>O que é o "vazio formativo"? (convém definir no cap. 5, ao lado do vazio material).</w:t>
      </w:r>
    </w:p>
    <w:p>
      <w:pPr>
        <w:pStyle w:val="Heading2"/>
      </w:pPr>
      <w:r>
        <w:t>Lâmina 28 · Agradecimento</w:t>
      </w:r>
    </w:p>
    <w:p>
      <w:r>
        <w:rPr>
          <w:i/>
        </w:rPr>
        <w:t>Sem conteúdo conceitual.</w:t>
      </w:r>
    </w:p>
    <w:p>
      <w:pPr>
        <w:pStyle w:val="Heading2"/>
      </w:pPr>
      <w:r>
        <w:t>Lâmina 29 · Referências (1/2)</w:t>
      </w:r>
    </w:p>
    <w:p>
      <w:r>
        <w:rPr>
          <w:b/>
        </w:rPr>
        <w:t xml:space="preserve">Ideia central: </w:t>
      </w:r>
      <w:r>
        <w:t>Lista ABNT das obras citadas na apresentação.</w:t>
      </w:r>
    </w:p>
    <w:p>
      <w:pPr>
        <w:pStyle w:val="Heading3"/>
      </w:pPr>
      <w:r>
        <w:t>Onde aprofundar</w:t>
      </w:r>
    </w:p>
    <w:p>
      <w:pPr>
        <w:pStyle w:val="ListBullet"/>
      </w:pPr>
      <w:r>
        <w:t>Listas de referências de cada capítulo.</w:t>
      </w:r>
    </w:p>
    <w:p>
      <w:pPr>
        <w:pStyle w:val="Heading2"/>
      </w:pPr>
      <w:r>
        <w:t>Lâmina 30 · Referências (2/2)</w:t>
      </w:r>
    </w:p>
    <w:p>
      <w:r>
        <w:rPr>
          <w:i/>
        </w:rPr>
        <w:t>Sem conteúdo conceitual.</w:t>
      </w:r>
    </w:p>
    <w:p>
      <w:pPr>
        <w:pStyle w:val="Heading1"/>
      </w:pPr>
      <w:r>
        <w:t>Pendências de verificação</w:t>
      </w:r>
    </w:p>
    <w:p>
      <w:pPr>
        <w:pStyle w:val="ListBullet"/>
      </w:pPr>
      <w:r>
        <w:t>Di Felice (2009, p. 20): citação indireta, a conferir no livro impresso.</w:t>
      </w:r>
    </w:p>
    <w:p>
      <w:pPr>
        <w:pStyle w:val="ListBullet"/>
      </w:pPr>
      <w:r>
        <w:t>Foucault (1999, p. 29): conferir a página na edição impressa usada.</w:t>
      </w:r>
    </w:p>
    <w:p>
      <w:pPr>
        <w:pStyle w:val="ListBullet"/>
      </w:pPr>
      <w:r>
        <w:t>"Vazio formativo" (lâmina 27): expressão nova, ainda não definida nos capítulos.</w:t>
      </w:r>
    </w:p>
    <w:p>
      <w:pPr>
        <w:pStyle w:val="ListBullet"/>
      </w:pPr>
      <w:r>
        <w:t>Posição da pesquisadora na rede: o projeto diz "trabalha há dezoito anos na rede municipal"; a Introdução diz "atua como profissional técnica de políticas públicas".</w:t>
      </w:r>
    </w:p>
    <w:p>
      <w:pPr>
        <w:pStyle w:val="ListBullet"/>
      </w:pPr>
      <w:r>
        <w:t>Dados de receita e gasto em educação de Tibau do Sul (Siconfi/Finbra): ainda não reunidos (cap. 5).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349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34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349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