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com foco analítico no ciclo de alfabetização (1º e 2º anos)</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4, com base na ACP e na teoria da </w:t>
      </w:r>
      <w:r>
        <w:rPr>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mostra que a exposição precoce a artefatos digitais só se converte em leitura crítica com mediação formativa deliberada. Estudar crianças conectadas, portanto, é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com atenção analítica ao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assim, apoio direto na literatura recuperada.</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 sem autonomia irrestrita sobre os rumos da política, e decidem dentro de regras, recursos, tempos, responsabilidades institucionais e demandas concorrentes. Faltam ao corpus, sobretudo, duas dimensões. A primeira são as culturas profissionais, isto é, as crenças, os valores, os hábitos e as formas de relação entre os profissionais que filtram o que a política pede (HARGREAVES, 2005). A segunda são as pressões por resultados, que podem levar a escola a produzir registros e evidências de uma política que não encontrou condições para acontecer (BALL, 2004).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rtl w:val="0"/>
        </w:rPr>
        <w:t xml:space="preserve">proteção dos dados de crianças e adolescentes</w:t>
      </w:r>
      <w:r>
        <w:rPr>
          <w:rtl w:val="0"/>
        </w:rPr>
        <w:t xml:space="preserve"> (BRASIL, 2023, art. 3º, III e IV). Nos </w:t>
      </w:r>
      <w:r>
        <w:rPr>
          <w:rtl w:val="0"/>
        </w:rPr>
        <w:t xml:space="preserve">anos iniciais, e sobretudo no 1º e no 2º ano</w:t>
      </w:r>
      <w:r>
        <w:rPr>
          <w:rtl w:val="0"/>
        </w:rPr>
        <w:t xml:space="preserve">,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mais próximo da etapa investigada.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As lacunas a seguir derivam do corpus e do registro das exclusões, e cada uma vem acompanhada da evidência que a sustenta, a começar pela ausência mais evidente.</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 1º e o 2º anos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Situa a investigação no 1º e no 2º anos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A dimensão teórico-conceitual está na leitura conjunta dessas condições. Tratamos a implementação como processo relacional, reunindo o normativo, o institucional, o territorial e o formativo, costumeiramente examinados em separado pela literatura. A Abordagem do Ciclo de Políticas (BOWE; BALL; GOLD, 1992) e a teoria da atuação (BALL; MAGUIRE; BRAUN, 2016),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teoria da atuação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BALL, Stephen J. Performatividade, privatização e o pós-Estado do bem-estar. Educação &amp; Sociedade,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HARGREAVES, Andy. Profesorado, cultura y postmodernidad: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IVANISHCHENKO, Kateryna</w:t>
      </w:r>
      <w:r>
        <w:rPr>
          <w:i w:val="1"/>
          <w:iCs w:val="1"/>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NUNES, Maria das Graças da Silva</w:t>
      </w:r>
      <w:r>
        <w:rPr>
          <w:i w:val="1"/>
          <w:iCs w:val="1"/>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PAÑOS-CASTRO, Jessica</w:t>
      </w:r>
      <w:r>
        <w:rPr>
          <w:i w:val="1"/>
          <w:iCs w:val="1"/>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