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 xml:space="preserve">A Lei nº 14.533, de 11 de janeiro de 2023, é o resultado de décadas de decisões, disputas e recuos, no Brasil e fora dele, que transformaram a educação digital em assunto de política pública. Reconstituímos esse percurso a partir de uma pergunta: que sentidos as políticas públicas atribuem às tecnologias digitais e como esses sentidos participam da constituição do texto da PNED? A pergunta corresponde aos contextos de influência e de produção do texto e importa para a questão norteadora, pois o texto da lei define o que se pede à escola e com que meios o direito à educação digital chega até ela. Sem esse exame, não seria possível saber em relação a quê os profissionais interpretam, traduzem, aderem, negociam ou resistem. Por isso, o capítulo oferece a base para os objetivos específicos (a), (c) e (d) da tese e informa o objetivo (b), todos respondidos no contexto da prática. Nossa leitura parte de uma posição explícita: a PNED amplia o que se exige das escolas sem assegurar, na mesma medida, os meios para cumprir essas exigências, e o capítulo mostra onde essa distância se inscreve no texto. No fim dessa cadeia de decisões está uma sala dos anos iniciais, com crianças de seis a dez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rtl w:val="0"/>
        </w:rPr>
        <w:t xml:space="preserve">Dos</w:t>
      </w:r>
      <w:r>
        <w:rPr>
          <w:rtl w:val="0"/>
        </w:rPr>
        <w:t xml:space="preserve"> cinco contextos da Abordagem do Ciclo de Políticas (ACP), dois </w:t>
      </w:r>
      <w:r>
        <w:rPr>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O Brasil mantém vínculos institucionais distintos com esses organismos, e suas orientações chegam às políticas nacionais por mediações, sem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O contexto de influência aparece no que vem de fora do Brasil, nas agendas internacionais e na perspectiva comparada (seções 5.1 e 5.2), e o contexto de produção do texto, na história das políticas brasileiras (5.3), na própria lei e nas normas em volta dela (5.4 e 5.5). Por esse caminho </w:t>
      </w:r>
      <w:r>
        <w:rPr>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traduzido e encenado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rtl w:val="0"/>
        </w:rPr>
        <w:t xml:space="preserve"></w:t>
      </w:r>
    </w:p>
    <w:p w:rsidR="00000000" w:rsidDel="00000000" w:rsidP="00000000" w:rsidRDefault="00000000" w:rsidRPr="00000000" w14:paraId="0000002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8"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O estudo data de 2015, e desde então</w:t>
      </w:r>
      <w:r>
        <w:rPr>
          <w:rtl w:val="0"/>
        </w:rPr>
        <w:t xml:space="preserve">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Esta tese é qualitativa e interpretativa e não avalia impacto sobre aprendizagens. Esses estudos entram no capítulo com uma única função: tornar visíveis as contradições internas de políticas de orientação produtivista, que associaram a entrega de equipamentos à melhoria do desempenho. Nenhum de seus coeficientes será usado para validar o objeto desta pesquisa, julgar a PNED ou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rtl w:val="0"/>
        </w:rPr>
        <w:t xml:space="preserve">Como vimos no Capítulo 4, Ball (2008)</w:t>
      </w:r>
      <w:r>
        <w:rPr>
          <w:rtl w:val="0"/>
        </w:rPr>
        <w:t xml:space="preserve"> descreve a performatividade como</w:t>
      </w:r>
      <w:r>
        <w:rPr>
          <w:rtl w:val="0"/>
        </w:rPr>
        <w:t xml:space="preserve"> regime de prestação de contas que </w:t>
      </w:r>
      <w:r>
        <w:rPr>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aparece, assim, articulada a diferentes processos de aprendizagem, além de figurar como conteúdo específico.</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8"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para além do desenvolvimento de habilidades operacionais.</w:t>
      </w:r>
      <w:r>
        <w:rPr>
          <w:rtl w:val="0"/>
        </w:rPr>
        <w:t xml:space="preserve"/>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8"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8"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8"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8"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rtl w:val="0"/>
        </w:rPr>
        <w:t xml:space="preserve"></w:t>
      </w:r>
    </w:p>
    <w:p w:rsidR="00000000" w:rsidDel="00000000" w:rsidP="00000000" w:rsidRDefault="00000000" w:rsidRPr="00000000" w14:paraId="00000097">
      <w:pPr>
        <w:spacing w:after="0" w:before="0" w:line="360" w:lineRule="auto"/>
        <w:ind w:firstLine="709"/>
        <w:jc w:val="both"/>
        <w:rPr/>
      </w:pPr>
      <w:r>
        <w:rPr>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8"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rtl w:val="0"/>
        </w:rPr>
        <w:t xml:space="preserve">Nos</w:t>
      </w:r>
      <w:r>
        <w:rPr>
          <w:rtl w:val="0"/>
        </w:rPr>
        <w:t xml:space="preserve"> termos da ACP, essas questões recolocam a relação entre o texto da política e os contextos em que ele é interpretado. Como lembra Ball</w:t>
      </w:r>
      <w:r>
        <w:rPr>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Quadro 10 – Políticas públicas de educação digital na Europa: síntese analítica comparativa</w:t>
      </w:r>
    </w:p>
    <w:tbl>
      <w:tblPr>
        <w:tblStyle w:val="Table1"/>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nos anos iniciais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8"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rtl w:val="0"/>
        </w:rPr>
        <w:t xml:space="preserve">.</w:t>
      </w:r>
    </w:p>
    <w:p w:rsidR="00000000" w:rsidDel="00000000" w:rsidP="00000000" w:rsidRDefault="00000000" w:rsidRPr="00000000" w14:paraId="000000F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é tratada, assim, como atributo da participação social, além do terreno estritamente instrumental.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rtl w:val="0"/>
        </w:rPr>
        <w:t xml:space="preserve">aos</w:t>
      </w:r>
      <w:r>
        <w:rPr>
          <w:rtl w:val="0"/>
        </w:rPr>
        <w:t xml:space="preserve"> profissionais, sem avaliar o saber </w:t>
      </w:r>
      <w:r>
        <w:rPr>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servem de lente para compreender o trabalho dos profissionais da escola quando interpretam o que a PNED lhes pede com os meios de que dispõem, sem descrever a escola de Pipa.</w:t>
      </w:r>
      <w:r>
        <w:rPr>
          <w:rtl w:val="0"/>
        </w:rPr>
        <w:t xml:space="preserve"/>
      </w:r>
      <w:r>
        <w:rPr>
          <w:rtl w:val="0"/>
        </w:rPr>
        <w:t xml:space="preserve"/>
      </w:r>
      <w:r>
        <w:rPr>
          <w:rtl w:val="0"/>
        </w:rPr>
        <w:t xml:space="preserve"/>
      </w:r>
      <w:r>
        <w:rPr>
          <w:rtl w:val="0"/>
        </w:rPr>
        <w:t xml:space="preserve"/>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8"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O acesso continua indispensável, pois sem ele nada começa, e figura como ponto de partida. Dois estudantes podem ter o mesmo aparelho e a mesma conexão e viver experiências educacionais muito desiguais, conforme um seja convidado a criar e o outro apenas a repetir. Essa inversão de prioridades, do acesso para o uso, é a contribuição mais aproveitável do NETP para esta análise.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rtl w:val="0"/>
        </w:rPr>
        <w:t xml:space="preserve">RIVOIR; LAMSCHTEIN, </w:t>
      </w:r>
      <w:r>
        <w:rPr>
          <w:rtl w:val="0"/>
        </w:rPr>
        <w:t xml:space="preserve">2012, p. 9, tradução nossa). A decisão nasceu no país, e a proposta do MIT ofereceu o desenho técnico que ela procurava. O resultado foi um duplo pioneirismo</w:t>
      </w:r>
      <w:r>
        <w:rPr>
          <w:rtl w:val="0"/>
        </w:rPr>
        <w:t xml:space="preserve">, pois o Plan Ceibal esteve entre as</w:t>
      </w:r>
      <w:r>
        <w:rPr>
          <w:rtl w:val="0"/>
        </w:rPr>
        <w:t xml:space="preserve"> primeiras experiências a adotar o modelo da OLPC</w:t>
      </w:r>
      <w:r>
        <w:rPr>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rtl w:val="0"/>
        </w:rPr>
        <w:t xml:space="preserve">, embora o programa reunisse</w:t>
      </w:r>
    </w:p>
    <w:p w:rsidR="00000000" w:rsidDel="00000000" w:rsidP="00000000" w:rsidRDefault="00000000" w:rsidRPr="00000000" w14:paraId="0000014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8" w:firstLine="0"/>
        <w:jc w:val="both"/>
        <w:rPr>
          <w:sz w:val="20"/>
          <w:szCs w:val="20"/>
        </w:rPr>
      </w:pPr>
      <w:r>
        <w:rPr>
          <w:sz w:val="20"/>
          <w:szCs w:val="20"/>
          <w:rtl w:val="0"/>
        </w:rPr>
        <w:t xml:space="preserve">“</w:t>
      </w:r>
      <w:r>
        <w:rPr>
          <w:sz w:val="20"/>
          <w:szCs w:val="20"/>
          <w:rtl w:val="0"/>
        </w:rPr>
        <w:t xml:space="preserve">as bases fundamentais para contribuir para melhorar a aprendizagem dos estudantes de educação básica mediante o uso de TIC</w:t>
      </w:r>
      <w:r>
        <w:rPr>
          <w:sz w:val="20"/>
          <w:szCs w:val="20"/>
          <w:rtl w:val="0"/>
        </w:rPr>
        <w:t xml:space="preserve">”, “</w:t>
      </w:r>
      <w:r>
        <w:rPr>
          <w:sz w:val="20"/>
          <w:szCs w:val="20"/>
          <w:rtl w:val="0"/>
        </w:rPr>
        <w:t xml:space="preserve">seu equipamento, desenho de material e a capacitação de docentes não bastam para melhorar o processo de ensino e aprendizagem</w:t>
      </w:r>
      <w:r>
        <w:rPr>
          <w:sz w:val="20"/>
          <w:szCs w:val="20"/>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14.</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11 – Políticas de educação digital nas Américas: síntese analítica comparativa </w:t>
      </w:r>
    </w:p>
    <w:tbl>
      <w:tblPr>
        <w:tblStyle w:val="Table2"/>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12,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12 – Categorias analíticas sensibilizadoras construídas a partir da perspectiva comparada </w:t>
      </w:r>
    </w:p>
    <w:tbl>
      <w:tblPr>
        <w:tblStyle w:val="Table3"/>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nos anos iniciais, do 1º ao 5º ano.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O que as duas leituras têm em comum ajuda a formulá-la.</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Em todos os casos, entre a formulação de uma política digital e os contextos em que ela atua, intervêm condições institucionais, culturas escolares, capacidades administrativas, trajetórias profissionais e desigualdades territoriais. A ACP afirma isso de qualquer política, e os casos o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12: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w:t>
      </w:r>
      <w:r>
        <w:rPr>
          <w:rtl w:val="0"/>
        </w:rPr>
        <w:t xml:space="preserve">Partimos da compreensão de</w:t>
      </w:r>
      <w:r>
        <w:rPr>
          <w:rtl w:val="0"/>
        </w:rPr>
        <w:t xml:space="preserve"> que, quando parte das condições não chega, a decisão sobre como a política se realiza se desloca para os profissionais da escola, que </w:t>
      </w:r>
      <w:r>
        <w:rPr>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sem amparo jurídico. </w:t>
      </w:r>
      <w:r>
        <w:rPr>
          <w:rtl w:val="0"/>
        </w:rPr>
        <w:t xml:space="preserve">O dado, aparentemente menor, mostra que</w:t>
      </w:r>
      <w:r>
        <w:rPr>
          <w:rtl w:val="0"/>
        </w:rPr>
        <w:t xml:space="preserve"> já nesse primeiro momento um programa nacional </w:t>
      </w:r>
      <w:r>
        <w:rPr>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As duas iniciativas ampliam o olhar sobre a conectividade, ligando-a, além da infraestrutura,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13 – Trajetória das políticas públicas de tecnologias digitais na educação básica brasileira (1983–2023) </w:t>
      </w:r>
    </w:p>
    <w:tbl>
      <w:tblPr>
        <w:tblStyle w:val="Table4"/>
        <w:tblW w:w="9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 como vimos na Introdução, reconhecem que as políticas “são intervenções textuais, mas carregam também restrições e possibilidades materiais” (BOWE; BALL; GOLD, 1992, p. 21, tradução nossa).</w:t>
      </w:r>
      <w:r>
        <w:rPr>
          <w:rtl w:val="0"/>
        </w:rPr>
        <w:t xml:space="preserve"/>
      </w:r>
      <w:r>
        <w:rPr>
          <w:rtl w:val="0"/>
        </w:rPr>
        <w:t xml:space="preserve"/>
      </w:r>
      <w:r>
        <w:rPr>
          <w:vertAlign w:val="superscript"/>
        </w:rPr>
        <w:footnoteReference w:customMarkFollows="0" w:id="38"/>
      </w:r>
      <w:r>
        <w:rPr>
          <w:rtl w:val="0"/>
        </w:rPr>
        <w:t xml:space="preserve"> Essa observação orienta nossa leitura para as condições que cada norma cria, distribui ou deixa de criar.</w:t>
      </w:r>
      <w:r>
        <w:rPr>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(BRASIL, 2026a),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rtl w:val="0"/>
        </w:rPr>
        <w:t xml:space="preserve">, voltada a </w:t>
      </w:r>
      <w:r>
        <w:rPr>
          <w:rtl w:val="0"/>
        </w:rPr>
        <w:t xml:space="preserve">potencializar os padrões e</w:t>
      </w:r>
      <w:r>
        <w:rPr>
          <w:rtl w:val="0"/>
        </w:rPr>
        <w:t xml:space="preserve"> os resultados das políticas </w:t>
      </w:r>
      <w:r>
        <w:rPr>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14,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Nos anos iniciais do Ensino Fundamental, cada uma dessas dimensões envolve conhecimentos, recursos, decisões pedagógicas e formas de organização do trabalho não detalhados pela lei. Nos anos iniciais, a questão exige leitura cuidadosa, e nos dois primeiros anos se torna mais aguda. Na sala estão crianças de seis a dez anos, e as menores acabam de chegar à escolarização obrigatória e aprendem a ler e a escrever.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14,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14 – O eixo Educação Digital Escolar traduzido em exigências para os anos iniciais </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rtl w:val="0"/>
              </w:rPr>
              <w:t xml:space="preserve">encenação</w:t>
            </w:r>
            <w:r>
              <w:rPr>
                <w:b w:val="1"/>
                <w:bCs w:val="1"/>
                <w:sz w:val="18"/>
                <w:szCs w:val="18"/>
                <w:rtl w:val="0"/>
              </w:rPr>
              <w:t xml:space="preserve"> da política</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O Quadro 14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rtl w:val="0"/>
        </w:rPr>
        <w:t xml:space="preserve">encenação</w:t>
      </w:r>
      <w:r>
        <w:rPr>
          <w:rtl w:val="0"/>
        </w:rPr>
        <w:t xml:space="preserve"> da política. </w:t>
      </w:r>
    </w:p>
    <w:p>
      <w:pPr>
        <w:spacing w:after="0" w:before="0" w:line="360" w:lineRule="auto"/>
        <w:ind w:firstLine="709"/>
        <w:jc w:val="both"/>
        <w:rPr/>
      </w:pPr>
      <w:r>
        <w:rPr>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rtl w:val="0"/>
        </w:rPr>
        <w:t xml:space="preserve">Há</w:t>
      </w:r>
      <w:r>
        <w:rPr>
          <w:rtl w:val="0"/>
        </w:rPr>
        <w:t xml:space="preserve">, no arcabouço alterado pela PNED, um dispositivo de </w:t>
      </w:r>
      <w:r>
        <w:rPr>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rtl w:val="0"/>
        </w:rPr>
        <w:t xml:space="preserve">aos profissionais dos anos iniciais</w:t>
      </w:r>
      <w:r>
        <w:rPr>
          <w:rtl w:val="0"/>
        </w:rPr>
        <w:t xml:space="preserve"> o ensino de pensamento computacional e de direitos digitais a crianças de seis </w:t>
      </w:r>
      <w:r>
        <w:rPr>
          <w:rtl w:val="0"/>
        </w:rPr>
        <w:t xml:space="preserve">a dez</w:t>
      </w:r>
      <w:r>
        <w:rPr>
          <w:rtl w:val="0"/>
        </w:rPr>
        <w:t xml:space="preserve"> anos sem garantia de formação prévia nesses conteúdos. Não avaliamos o saber </w:t>
      </w:r>
      <w:r>
        <w:rPr>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rtl w:val="0"/>
        </w:rPr>
        <w:t>5.6 SÍNTESE DO CAPÍTULO: O QUE A LEITURA DO TEXTO OFERECE À TESE</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A leitura documental alcança o texto da política e as condições que ele cria, e o que acontece na escola de Pipa fica para o campo. Dentro desse limite, ela entrega à tese uma das pontas da relação investigada. Se a forma assumida pela política no cotidiano escolar resulta do encontro entre o que ela prescreve e as condições sob as quais os profissionais atuam, este capítulo reconstituiu o primeiro termo desse encontro e mostrou onde, no próprio texto, as condições do segundo ficaram em aberto. Cada objetivo específico recebe daí uma contribuição própria.</w:t>
      </w:r>
    </w:p>
    <w:p w:rsidR="00000000" w:rsidDel="00000000" w:rsidP="00000000" w:rsidRDefault="00000000" w:rsidRPr="00000000" w14:paraId="00000297">
      <w:pPr>
        <w:spacing w:after="0" w:before="0" w:line="360" w:lineRule="auto"/>
        <w:ind w:firstLine="709"/>
        <w:jc w:val="both"/>
        <w:rPr/>
      </w:pPr>
      <w:r>
        <w:rPr>
          <w:rtl w:val="0"/>
        </w:rPr>
        <w:t>Para o objetivo (a), o capítulo mostra que o eixo Educação Digital Escolar reúne num mesmo artigo finalidades de inclinação técnica, como o pensamento computacional e a programação, e de inclinação formativa e cidadã, como a cultura digital e os direitos digitais, sem hierarquia entre elas. Essa abertura é o espaço em que os profissionais vão interpretar a política. É nele que as culturas profissionais discutidas no Capítulo 4, isto é, o que uma equipe considera um bom trabalho, o que costuma acolher e os modos de relação entre seus membros, podem pesar sobre o que será priorizado e o que ficará de lado na escola.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(b), a contribuição está no desenho dos meios. A lei condiciona a inclusão digital aos limites orçamentários de cada ente, não cria fundo próprio nem transferência obrigatória aos municípios e trata a formação como ação de promoção, enquanto o componente curricular se tornou obrigatório e ganhou data para entrar nos currículos. Numa rede de pequeno porte, esse desenho torna possível o que chamamos de vazio material. A prioridade às populações mais vulneráveis, inscrita no art. 1º, oferece o critério para ler o caso: se a política é delas, as redes e as escolas com menos recursos deveriam ser as primeiras a receber os meios, e o Capítulo 6 documenta em que condições a escola de Pipa os espera. A perspectiva comparada reforça essa leitura, pois nos casos americanos pesam justamente as desigualdades territoriais, a escala dos programas e a instabilidade institucional.</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(c), o capítulo identifica no texto e na história das políticas as situações em que diferentes formas de atuação podem surgir, sem antecipar qual delas se verá na escola. Os espaços que a lei deixa abertos pedem tradução. A trajetória brasileira registra lacunas cobertas dentro das próprias escolas, como a manutenção dos laboratórios entregue aos professores que mais entendiam de informática. Os instrumentos de autodiagnóstico e de monitoramento previstos entre as estratégias do eixo podem trazer exigências de registro e de evidência, no sentido da performatividade descrita por Ball (2008). As normas editadas entre 2025 e 2026, por fim, acrescentam aos mesmos profissionais demandas de proteção, de controle dos aparelhos pessoais e de notificação, que precisam ser conciliadas com o uso pedagógico das tecnologias. Adesão, acomodação, adaptação, omissão seletiva, negociação, ressignificação e resistência encontram, nesse quadro, condições para aparecer, e somente as narrativas dirão quais aparecem de fato, em que condições e por quê.</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(d), o capítulo reúne as promessas feitas às crianças e permite organizá-las nas três dimensões adotadas pela tese, em diálogo com o Comentário Geral nº 25 (ONU, 2021). A provisão depende dos meios que o desenho da lei deixa a cargo de cada ente. A proteção ganhou densidade com a LGPD e com o Estatuto Digital da Criança e do Adolescente, e a escolha das plataformas, quando a rede não a define, pode recair sobre a professora, junto com a responsabilidade pelos dados das crianças. A participação aparece no inciso III do art. 3º, associada ao uso consciente e democrático das tecnologias. Proteger e usar ao mesmo tempo é uma tarefa que o conjunto das normas entrega à escola sem dizer como conciliar uma coisa e outra.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Duas contribuições atravessam os objetivos. A primeira diz respeito ao habitar o digital. As agendas internacionais examinadas na seção 5.1, com todas as suas diferenças, deslocam o foco da presença dos recursos para as condições, os usos e as finalidades, e a distinção norte-americana entre fossos de acesso, de desenho e de uso aponta na mesma direção. Esse deslocamento sustenta a decisão da tese de ler a educação digital para além do acesso a equipamentos e à conectividade, considerando as experiências e as formas de participação possíveis num território desigual. A segunda diz respeito à dimensão empírico-temporal do ineditismo. O calendário reconstituído no capítulo, da lei de 2023 à derrubada do veto em dezembro daquele ano, à Resolução CNE/CEB nº 2/2025, ao Estatuto Digital em vigor desde março de 2026 e ao novo Plano Nacional de Educação, aprovado em abril de 2026, mostra que a pesquisa acontece no momento em que essas normas começam a chegar juntas às escolas.</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Essas contribuições têm o estatuto de condições inscritas no texto e de proposições a verificar no campo. A leitura confirma, também, o limite dos referenciais discutido na Introdução e no Capítulo 4. A ACP permite ler o que a política promete e com que meios, e a teoria da atuação, o modo como as escolas interpretam e traduzem o que recebem, e nenhuma das duas trata com detalhe da situação tornada possível pelo desenho da PNED, na qual a condição anunciada não chega à escola e, ainda assim, a escola precisa mostrar que a política acontece. Os riscos apresentados na seção 1.5 ganham aqui seu fundamento normativo: a realização do eixo pode variar de uma turma para outra, o custo pode recair sobre o tempo de quem está na ponta e a falta dos meios pode desaparecer de vista por ser coberta pelos profissionais ou por registros que mostram o eixo em andamento. O Quadro 15 reúne o que cada achado do capítulo leva para a tese e o modo como o campo o examinará.</w:t>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Quadro 15 – Contribuições da leitura documental para os objetivos da tese</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Achado da leitura documental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Fundamento no texto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Contribuição para a tese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Como o campo o examinará</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Eixo amplo, que reúne finalidades técnicas e formativas sem hierarquia entre elas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I a V, e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(a): delimita o espaço de interpretação em que pesam as culturas profissionais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Questionário (Bloco 5); entrevista (Eixos 1 e 2)</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Financiamento sem fundo próprio nem transferência obrigatória; inclusão digital condicionada aos limites orçamentários de cada 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arts. 1º, 2º e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(b): possibilidade de vazio material numa rede pequena; prioridade aos vulneráveis como critério de leitura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Documentos de aquisição, conectividade e PIEC; dados fiscais do município; questionário (Bloco 3); entrevista (Eixo 3)</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Componente curricular obrigatório e formação prevista apenas como promoção, com calendário entre 2023 e 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LDB, art. 26, § 11; Lei nº 14.533/2023, art. 3º, § 1º, IX e X; Resolução CNE/CEB nº 2/2025, arts. 36 e 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(b) e (c): o conhecimento como possível condição ausente; dimensão empírico-temporal do ineditismo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Registros de formação da Secretaria; questionário (Bloco 2); entrevista (Eixo 1)</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Instrumentos de autodiagnóstico e de monitoramento entre as estratégias do eixo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(c): possíveis exigências de registro, evidência e fabricação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Atas, planos e registros institucionais; questionário (Bloco 4); entrevista (Eixo 4)</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Normas posteriores que pedem, ao mesmo tempo, uso pedagógico e proteção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Leis nº 13.709/2018, 15.100/2025, 15.211/2025 e 15.231/2025; Decreto nº 12.385/2025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(c) e (d): demandas concorrentes sobre os mesmos profissionais; escolha de plataformas e dados das crianças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Entrevista (Eixos 5 e 6): aplicativos, aparelhos usados e tratamento dos dados das crianças</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Programas descontinuados e lacunas cobertas dentro das escolas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Quadro 13; Gomes, Medeiros e Santos (2024)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Rugosidade tecnológica; precedentes de cobertura das condições pelos profissionais; categorias sensibilizadoras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 iconográfico (Capítulo 6); entrevista (Eixos 3 e 5)</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Agendas internacionais deslocam o foco da presença dos recursos para condições, usos e finalidades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UNESCO (2023); OCDE (2015); Banco Mundial (2020); perspectiva comparada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Fundamenta o habitar o digital para além do acesso; promessas às crianças lidas como provisão, proteção e participação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Capítulo 6; entrevista (Eixo 6)</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Fonte: elaborado pela autora (2026), com base na análise documental deste capítulo e nos instrumentos descritos no Capítulo 4.</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É sobre esse texto que os profissionais da escola produzirão sentidos, e é com ele que as formas de atuação produzidas na escola serão comparadas no Capítulo 7. Antes disso, o Capítulo 6 caracteriza o território de Pipa e a escola onde essa promessa encontra crianças e profissionais concretos.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1"/>
        <w:pageBreakBefore/>
        <w:spacing w:after="0" w:before="0" w:line="240" w:lineRule="auto"/>
        <w:ind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left"/>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left"/>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left"/>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left"/>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left"/>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left"/>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left"/>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left"/>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left"/>
        <w:rPr/>
      </w:pPr>
      <w:r>
        <w:rPr>
          <w:rtl w:val="0"/>
        </w:rPr>
        <w:t xml:space="preserve">BALL, Stephen J. The education debate. Bristol: The Policy Press, 2008.</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left"/>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left"/>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left"/>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left"/>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left"/>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left"/>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left"/>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left"/>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left"/>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left"/>
        <w:rPr/>
      </w:pPr>
      <w:r w:rsidDel="00000000" w:rsidR="00000000" w:rsidRPr="00000000">
        <w:rPr>
          <w:rtl w:val="0"/>
        </w:rPr>
        <w:t xml:space="preserve">BRASIL. Decreto nº 12.385, de 18 de fevereiro de 2025. Regulamenta a Lei nº 15.100, de 13 de janeiro de 2025. Brasília, DF: Presidência da República, 2025e.</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Transforma a Autoridade Nacional de Proteção de Dados em Agência Nacional de Proteção de Dados. Brasília, DF: Diário Oficial da União, 2026a.</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left"/>
        <w:rPr/>
      </w:pPr>
      <w:r w:rsidDel="00000000" w:rsidR="00000000" w:rsidRPr="00000000">
        <w:rPr>
          <w:rtl w:val="0"/>
        </w:rPr>
        <w:t xml:space="preserve">BRASIL. Lei nº 15.388, de 14 de abril de 2026. Aprova o Plano Nacional de Educação. Brasília, DF: Presidência da República, 2026b.</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left"/>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left"/>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left"/>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left"/>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left"/>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left"/>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left"/>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EE">
      <w:pPr>
        <w:spacing w:after="0" w:before="0" w:line="240" w:lineRule="auto"/>
        <w:jc w:val="left"/>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left"/>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left"/>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left"/>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left"/>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left"/>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left"/>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left"/>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left"/>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left"/>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left"/>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left"/>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left"/>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left"/>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left"/>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left"/>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left"/>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left"/>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15">
      <w:pPr>
        <w:spacing w:after="0" w:before="0" w:line="240" w:lineRule="auto"/>
        <w:jc w:val="left"/>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left"/>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left"/>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left"/>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left"/>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left"/>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left"/>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23">
      <w:pPr>
        <w:spacing w:after="0" w:before="0" w:line="240" w:lineRule="auto"/>
        <w:jc w:val="left"/>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left"/>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left"/>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left"/>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left"/>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left"/>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left"/>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left"/>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left"/>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left"/>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left"/>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left"/>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