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É no espaço que se abre entre a educação digital garantida pela lei e as condições concretas de que a escola dispõe que esta tese se situa.</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t xml:space="preserve">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50-51).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e é por isso que as narrativas dos profissionais ocupam o centro da produção de dados.</w:t>
      </w:r>
    </w:p>
    <w:p>
      <w:pPr>
        <w:spacing w:line="360" w:lineRule="auto" w:after="0" w:before="0"/>
        <w:ind w:firstLine="709"/>
        <w:jc w:val="both"/>
      </w:pPr>
      <w:r>
        <w:rPr>
          <w:b w:val="0"/>
          <w:i w:val="0"/>
        </w:rPr>
        <w:t xml:space="preserve">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são discutidos no Capítulo 3 como contexto teórico, intencionalmente fora do objeto empírico.</w:t>
      </w:r>
    </w:p>
    <w:p>
      <w:pPr>
        <w:spacing w:line="360" w:lineRule="auto" w:after="0" w:before="0"/>
        <w:ind w:firstLine="709"/>
        <w:jc w:val="both"/>
      </w:pPr>
      <w:r>
        <w:rPr/>
        <w:t xml:space="preserve">Entre o texto oficial e o cotidiano escolar, as orientações encontram pessoas, limites institucionais, recursos desiguais e dinâmicas do território, e todos esses elementos interferem no modo como a norma ganha forma.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t xml:space="preserve">O objeto nos coloca diante de uma questão que atravessa a tese, a de saber o que acontece com uma política quando os direitos que ela institui não vêm acompanhados dos meios necessários para se realizarem.</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t xml:space="preserve">A mesma política ganha formas diferentes em cada escola, e duas noções ajudam a compreender por quê. Ball, Maguire e Braun (2016, p. 38) incluem as culturas profissionais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Com a noção de performatividade, Ball (2004) descreve a cultura de metas, comparações e prestação de contas que passa a orientar o trabalho e a própria identidade dos profissionais da educação, e em outro texto a define como “um regime de prestação de contas que emprega julgamentos, comparações e exposições como meios de controle, desgaste e mudança” (BALL, 2008, p. 49, tradução nossa).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t xml:space="preserve">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74-75)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t xml:space="preserve">A delimitação do campo em Pipa acrescenta à pesquisa condições próprias do território. O distrito integra um município de pequeno porte e, na década de 1970, era uma comunidade agrícola e pesqueira, sem energia elétrica, água encanada e boas vias de acesso, que passou a receber surfistas a partir de meados daquela década e, com a divulgação mais intensa iniciada nos anos 1990, se tornou destino turístico internacional (AIRES, 2012, p. 81-82). Para compreendê-lo, recorremos a Milton Santos, para quem “o território não é uma categoria de análise, a categoria de análise é o território usado” (SANTOS, 1999, p. 19). O território usado, explica o autor, deve ser visto “como um campo de forças, como o lugar do exercício, de dialéticas e contradições entre o vertical e o horizontal, entre o Estado e o mercado, entre o uso econômico e o uso social dos recursos” (SANTOS, 1999, p. 20). Em Pipa, essa contradição tem expressão concreta. O distrito onde pousadas, restaurantes e passeios se vendem pela internet é o mesmo de onde as crianças saem, pela manhã, para salas de aula com carteiras enfileiradas, alfabeto móvel feito à mão e nenhuma tela, situação que Santos (2006, p. 163) ajuda a nomear quando observa que, com a difusão do meio técnico-científico-informacional, “distinguem-se zonas servidas pelos meios de conhecimento e áreas desprovidas dessa vantagem”.</w:t>
      </w:r>
    </w:p>
    <w:p>
      <w:pPr>
        <w:spacing w:line="360" w:lineRule="auto" w:after="0" w:before="0"/>
        <w:ind w:firstLine="709"/>
        <w:jc w:val="both"/>
      </w:pPr>
      <w:r>
        <w:rPr/>
        <w:t xml:space="preserve">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Com o turismo, casas e terrenos de nativos foram vendidos, trocados ou alugados a veranistas, surfistas e estrangeiros (AIRES, 2012, p. 79-80, 84), e os relatos reunidos pela autora incluem trabalhadoras vindas de localidades vizinhas para os serviços ligados ao turismo (AIRES, 2012, p. 16, 87).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 Massey ajuda, ainda, a evitar que a distância entre a escola e os circuitos turísticos seja lida como atraso, ao criticar a operação que “transforma a geografia em história, o espaço em tempo” (MASSEY, 2008, p. 24). Escola e polo turístico são contemporâneos, e o que os separa são relações que a análise precisará explicar.</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t xml:space="preserve">Esse desenho tende a pesar mais em municípios de pequeno porte, como aquele em que a pesquisa se desenvolve. Tratar a situação como simples falha de gestão local retiraria de cena o desenho da lei e tornaria invisível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Assumimos a mesma cautela, e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t xml:space="preserve">O desenho da lei, a capacidade da rede, o tempo de trabalho, as desigualdades do território e a lacuna da literatura convergem, assim, para o trabalho de mediação realizado pelos profissionais em suas diferentes posições, feito de interpretações, traduções, escolhas e limites, no qual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que poderá aparecer ou não nos dados e que, se aparecer, será lida em relação às condições em que se constitui, às demandas a que responde e aos efeitos que produz no cotidiano escolar.</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t xml:space="preserve">Os quatro objetivos acompanham o caminho que 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(ONU, 2021).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t xml:space="preserve">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e nela “a política é complexamente codificada em textos e artefatos e é decodificada (e recodificada) de forma igualmente complexa” (BALL; MAGUIRE; BRAUN, 2016, p. 14). Os autores propõem quatro dimensões do contexto (BALL; MAGUIRE; BRAUN, 2016, p. 38):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Para eles, “o contexto é uma força ‘ativa’, não é apenas um pano de fundo com os quais as escolas têm de operar” (BALL; MAGUIRE; BRAUN, 2016, p. 42). A performatividade (BALL, 2004, 2008)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Essas noções orientam o olhar sobre os dados sem antecipar o que será encontrado.</w:t>
      </w:r>
    </w:p>
    <w:p>
      <w:pPr>
        <w:spacing w:line="360" w:lineRule="auto" w:after="0" w:before="0"/>
        <w:ind w:firstLine="709"/>
        <w:jc w:val="both"/>
      </w:pPr>
      <w:r>
        <w:rPr/>
        <w:t xml:space="preserve">O território é lido com Santos e Massey. Em </w:t>
      </w:r>
      <w:r>
        <w:rPr>
          <w:i/>
        </w:rPr>
        <w:t xml:space="preserve">A natureza do espaço</w:t>
      </w:r>
      <w:r>
        <w:rPr/>
        <w:t xml:space="preserve">, Santos (2006, p. 12) compreende o espaço como conjunto indissociável de sistemas de objetos e de sistemas de ações e observa que “os sistemas de objetos condicionam a forma como se dão as ações” (SANTOS, 2006, p. 39). Os lugares guardam formas herdadas de outros períodos, que o autor chama de rugosidades, “o que fica do passado como forma, espaço construído, paisagem” (SANTOS, 2006, p. 92). Em </w:t>
      </w:r>
      <w:r>
        <w:rPr>
          <w:i/>
        </w:rPr>
        <w:t xml:space="preserve">Espaço e método</w:t>
      </w:r>
      <w:r>
        <w:rPr/>
        <w:t xml:space="preserve">, lembra que “as rugosidades – formas remanescentes dos períodos anteriores – devem ser levadas em conta quando uma sociedade procura impor novas funções” (SANTOS, 2012, p. 75). Massey, por sua vez, compreende o espaço “como a esfera da possibilidade da existência da multiplicidade, no sentido da pluralidade contemporânea, como a esfera na qual distintas trajetórias coexistem” (MASSEY, 2008, p. 29), o que permite ler Pipa como lugar de encontro de trajetórias que chegam à escola na forma das famílias e das crianças que ela atende.</w:t>
      </w:r>
    </w:p>
    <w:p>
      <w:pPr>
        <w:spacing w:line="360" w:lineRule="auto" w:after="0" w:before="0"/>
        <w:ind w:firstLine="709"/>
        <w:jc w:val="both"/>
      </w:pPr>
      <w:r>
        <w:rPr/>
        <w:t xml:space="preserve">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interessa pelo que permite compreender a fundo de uma realidade singular, sem pretensão de representar outras escolas.</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t xml:space="preserve">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A pesquisa não observa aulas, e as práticas chegam à análise pelas narrativas dos participantes, enquanto as condições materiais chegam pelos documentos e pelo registro iconográfico. Ball, Maguire e Braun (2016, p. 49) adotaram a mesma delimitação no estudo que deu origem à teoria da atuação: “a prática de sala de aula não era foco do estudo [...] nós temos de confiar nos relatos dos professores nessas questões”. O registro iconográfico e a consulta ao acervo histórico já foram realizados e sustentam o Capítulo 6. Os demais movimentos dependem da aprovação, pelo Comitê de Ética em Pesquisa, da emenda ao protocolo já aprovado.</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t xml:space="preserve">A palavra “resistências” está no título da tese por escolha deliberada, que pede um cuidado correspondente. A resistência será tratada como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Foucault dá a essa abertura um estatuto teórico. Ball, Maguire e Braun recorrem a ele ao tratar a política como “uma certa economia de discursos da verdade” (FOUCAULT, 1980, p. 93 apud BALL; MAGUIRE; BRAUN, 2016, p. 21), e em </w:t>
      </w:r>
      <w:r>
        <w:rPr>
          <w:i/>
        </w:rPr>
        <w:t xml:space="preserve">Vigiar e punir</w:t>
      </w:r>
      <w:r>
        <w:rPr/>
        <w:t xml:space="preserve"> o autor mostra que as relações de poder “não são unívocas; definem inúmeros pontos de luta, focos de instabilidade comportando cada um seus riscos de conflito, de lutas e de inversão pelo menos transitória da relação de forças” (FOUCAULT, 1999, p. 29). A resistência pertence, assim, às relações de poder que a política mobiliza na escola e pode aparecer sem ser pressuposta. Ball (2011, p. 46) adverte, por outro lado, contra os estudos em que os sujeitos “emergem, resistentes e românticos, heróis althusserianos lutando contra a opressão”, e a análise procurará descrever o que os profissionais fazem e as condições que tornam necessárias as suas escolhas, sem culpá-los nem celebrá-los.</w:t>
      </w:r>
    </w:p>
    <w:p>
      <w:pPr>
        <w:spacing w:line="360" w:lineRule="auto" w:after="0" w:before="0"/>
        <w:ind w:firstLine="709"/>
        <w:jc w:val="both"/>
      </w:pPr>
      <w:r>
        <w:rPr/>
        <w:t xml:space="preserve">A tese propõe ainda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e recorre a Di Felice para compreendê-lo “enquanto prática comunicativa” (SCHLEMMER; BACKES; PALAGI, 2021, p. 17). Em </w:t>
      </w:r>
      <w:r>
        <w:rPr>
          <w:i/>
        </w:rPr>
        <w:t xml:space="preserve">Paisagens pós-urbanas</w:t>
      </w:r>
      <w:r>
        <w:rPr/>
        <w:t xml:space="preserve">,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que Santos (1999, p. 20-21) ajuda a entender como “dissonância entre os usos econômicos e os usos sociais dos mesmos recursos”.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num movimento que Santos descreve ao observar que a forma “freqüentemente permanece aguardando o próximo movimento dinâmico da sociedade, quando terá toda a probabilidade de ser chamada a cumprir uma nova função” (SANTOS, 2012, p. 74-75).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t xml:space="preserve">O ineditismo da pesquisa se mostra em três planos que se apoiam mutuamente. No plano empírico-temporal, a investigação acompanha a chegada da PNED à escola no momento em que a exigência curricular se torna obrigatória e ocupa uma lacuna identificada pela RSL, e Ball (2011, p. 38) lembra que a abordagem da trajetória “capta as formas pelas quais as políticas evoluem, se modificam e decaem ao longo do tempo e do espaço, assim como as suas incoerências”. No plano analítico-espacial, o território de Pipa entra na análise como dimensão constitutiva do contexto da prática, com o peso que Santos e Massey lhe atribuem. No plano teórico-conceitual, a tese articula a teoria da atuação, as culturas profissionais, a dimensão material da escola e a leitura do território, propõe a noção de habitar o digital e trata a distância entre a norma e a sala de aula como parte de uma relação política entre texto, contexto e sujeitos, sem classificá-la de imediato como falha, incapacidade ou resistência. É nesse encontro entre a PNED, uma escola, seus profissionais, suas condições materiais e um território específico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t xml:space="preserve">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xml:space="preserve">, 2022), que localiza a lacuna ocupada pela tese. No terceiro, “Como uma política se torna prática: atuação, culturas profissionais, poder e o habitar o digital”, apresentamos os fundamentos teóricos da investigação: a ACP, a teoria da atuação, as culturas profissionais, a performatividade e a fabricação, a leitura foucaultiana do poder e da resistência e a noção de habitar o digital, acompanhada de uma discussão sobre plataformas, dados e solucionismo ligada à proteção das crianças.</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ind w:firstLine="0"/>
        <w:jc w:val="center"/>
      </w:pPr>
      <w:r>
        <w:rPr>
          <w:b/>
        </w:rPr>
        <w:t>REFERÊNCIAS</w:t>
      </w:r>
    </w:p>
    <w:p>
      <w:pPr>
        <w:spacing w:line="240" w:lineRule="auto" w:after="240" w:before="0"/>
        <w:ind w:firstLine="0"/>
        <w:jc w:val="left"/>
      </w:pPr>
      <w:r>
        <w:rPr>
          <w:b w:val="0"/>
          <w:i w:val="0"/>
        </w:rPr>
        <w:t xml:space="preserve">AIRES, Jussara Danielle Martins. </w:t>
      </w:r>
      <w:r>
        <w:rPr>
          <w:b/>
          <w:i w:val="0"/>
        </w:rPr>
        <w:t xml:space="preserve">Histórias e relatos sobre Pipa</w:t>
      </w:r>
      <w:r>
        <w:rPr>
          <w:b w:val="0"/>
          <w:i w:val="0"/>
        </w:rPr>
        <w:t xml:space="preserve">: a praia internacional do Rio Grande do Norte. 2012. 114 f. Dissertação (Mestrado em Ciências Sociais) – Programa de Pós-Graduação em Ciências Sociais, Universidade Federal do Rio Grande do Norte, Natal, 2012.</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xml:space="preserve">: a ascensão dos dados e a morte da política. Tradução de Claudio Marcondes.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Marques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