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e fixa, antes do campo, as dimensões e os critérios pelos quais as formas de atuação dos profissionais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 da Silva</w:t>
      </w:r>
      <w:r>
        <w:rPr>
          <w:rFonts w:ascii="Times New Roman" w:hAnsi="Times New Roman"/>
          <w:sz w:val="24"/>
        </w:rPr>
        <w:t xml:space="preserve"> estudam crianças de seis a dez anos: em 2026, são 351 crianças matriculadas em quinze turmas do 1º ao 5º ano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Esta pesquisa não ouve as crianças nem avalia aprendizagens. Chega a elas por um caminho indireto, pelas condições de trabalho dos profissionais e pelas decisões relatadas por eles, e esse limite orienta todas as escolhas do desenho.</w:t>
      </w:r>
    </w:p>
    <w:p>
      <w:pPr>
        <w:spacing w:line="360" w:lineRule="auto"/>
        <w:ind w:firstLine="709"/>
        <w:jc w:val="both"/>
      </w:pPr>
      <w:r>
        <w:rPr>
          <w:rFonts w:ascii="Times New Roman" w:hAnsi="Times New Roman"/>
          <w:sz w:val="24"/>
        </w:rPr>
        <w:t xml:space="preserve">O campo é a rede municipal de Tibau do Sul, no Rio Grande do Norte, e, dentro dela, a escola de Pipa. Participam os profissionais da educação que atuam nos anos iniciais, do 1º ao 5º ano: docentes, coordenação pedagógica, direção e demais profissionais ligados ao trabalho pedagógico dessas turmas. Um técnico da Secretaria Municipal de Educação, o coordenador de políticas públicas e programas educacionais do município, participa como fonte complementar sobre o contexto externo. Os dados serão construídos em cinco movimentos, a análise documental,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Os quatro objetivos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(a), (c) e (d).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rPr>
              <w:t>(a) Compreender como os diferentes profissionais interpretam os textos da PNED e os discursos sobre educação digital</w:t>
            </w:r>
          </w:p>
        </w:tc>
        <w:tc>
          <w:tcPr>
            <w:tcW w:type="dxa" w:w="2351"/>
          </w:tcPr>
          <w:p>
            <w:r/>
            <w:r>
              <w:rPr>
                <w:rFonts w:ascii="Times New Roman" w:hAnsi="Times New Roman"/>
                <w:sz w:val="20"/>
              </w:rPr>
              <w:t>Contexto da prática (culturas profissionais), com base nos contextos de influência e de produção do texto. Análise documental; questionário (Blocos 1, 2 e 5); entrevistas (Eixos 1 e 2)</w:t>
            </w:r>
          </w:p>
        </w:tc>
        <w:tc>
          <w:tcPr>
            <w:tcW w:type="dxa" w:w="2351"/>
          </w:tcPr>
          <w:p>
            <w:r/>
            <w:r>
              <w:rPr>
                <w:rFonts w:ascii="Times New Roman" w:hAnsi="Times New Roman"/>
                <w:sz w:val="20"/>
              </w:rPr>
              <w:t>5 e 7</w:t>
            </w:r>
          </w:p>
        </w:tc>
        <w:tc>
          <w:tcPr>
            <w:tcW w:type="dxa" w:w="2351"/>
          </w:tcPr>
          <w:p>
            <w:r/>
            <w:r>
              <w:rPr>
                <w:rFonts w:ascii="Times New Roman" w:hAnsi="Times New Roman"/>
                <w:sz w:val="20"/>
              </w:rPr>
              <w:t>Os sentidos atribuídos à política em cada posição institucional, lidos em relação ao que o texto efetivamente pede</w:t>
            </w:r>
          </w:p>
        </w:tc>
      </w:tr>
      <w:tr>
        <w:tc>
          <w:tcPr>
            <w:tcW w:type="dxa" w:w="2351"/>
          </w:tcPr>
          <w:p>
            <w:r/>
            <w:r>
              <w:rPr>
                <w:rFonts w:ascii="Times New Roman" w:hAnsi="Times New Roman"/>
                <w:sz w:val="20"/>
              </w:rPr>
              <w:t>(b) Analisar como as condições da escola e o território atravessam a tradução da PNED em práticas cotidianas</w:t>
            </w:r>
          </w:p>
        </w:tc>
        <w:tc>
          <w:tcPr>
            <w:tcW w:type="dxa" w:w="2351"/>
          </w:tcPr>
          <w:p>
            <w:r/>
            <w:r>
              <w:rPr>
                <w:rFonts w:ascii="Times New Roman" w:hAnsi="Times New Roman"/>
                <w:sz w:val="20"/>
              </w:rPr>
              <w:t>Contexto da prática (dimensões situacional e material). Registro iconográfico e acervo do Museu Digital de Pipa; documentos de aquisição (a realizar); questionário (Bloco 3); entrevistas (Eixo 3)</w:t>
            </w:r>
          </w:p>
        </w:tc>
        <w:tc>
          <w:tcPr>
            <w:tcW w:type="dxa" w:w="2351"/>
          </w:tcPr>
          <w:p>
            <w:r/>
            <w:r>
              <w:rPr>
                <w:rFonts w:ascii="Times New Roman" w:hAnsi="Times New Roman"/>
                <w:sz w:val="20"/>
              </w:rPr>
              <w:t>6 e 7</w:t>
            </w:r>
          </w:p>
        </w:tc>
        <w:tc>
          <w:tcPr>
            <w:tcW w:type="dxa" w:w="2351"/>
          </w:tcPr>
          <w:p>
            <w:r/>
            <w:r>
              <w:rPr>
                <w:rFonts w:ascii="Times New Roman" w:hAnsi="Times New Roman"/>
                <w:sz w:val="20"/>
              </w:rPr>
              <w:t>As condições de tradução: vazio material, habitar o digital e rugosidade tecnológica</w:t>
            </w:r>
          </w:p>
        </w:tc>
      </w:tr>
      <w:tr>
        <w:tc>
          <w:tcPr>
            <w:tcW w:type="dxa" w:w="2351"/>
          </w:tcPr>
          <w:p>
            <w:r/>
            <w:r>
              <w:rPr>
                <w:rFonts w:ascii="Times New Roman" w:hAnsi="Times New Roman"/>
                <w:sz w:val="20"/>
              </w:rPr>
              <w:t>(c) Identificar as formas de atuação produzidas diante da política, sem pressupor a predominância de nenhuma</w:t>
            </w:r>
          </w:p>
        </w:tc>
        <w:tc>
          <w:tcPr>
            <w:tcW w:type="dxa" w:w="2351"/>
          </w:tcPr>
          <w:p>
            <w:r/>
            <w:r>
              <w:rPr>
                <w:rFonts w:ascii="Times New Roman" w:hAnsi="Times New Roman"/>
                <w:sz w:val="20"/>
              </w:rPr>
              <w:t>Contexto da prática (todas as dimensões, inclusive a externa, com o técnico da Secretaria). Entrevistas (Eixos 3, 4 e 5); documentos pedagógicos</w:t>
            </w:r>
          </w:p>
        </w:tc>
        <w:tc>
          <w:tcPr>
            <w:tcW w:type="dxa" w:w="2351"/>
          </w:tcPr>
          <w:p>
            <w:r/>
            <w:r>
              <w:rPr>
                <w:rFonts w:ascii="Times New Roman" w:hAnsi="Times New Roman"/>
                <w:sz w:val="20"/>
              </w:rPr>
              <w:t>7</w:t>
            </w:r>
          </w:p>
        </w:tc>
        <w:tc>
          <w:tcPr>
            <w:tcW w:type="dxa" w:w="2351"/>
          </w:tcPr>
          <w:p>
            <w:r/>
            <w:r>
              <w:rPr>
                <w:rFonts w:ascii="Times New Roman" w:hAnsi="Times New Roman"/>
                <w:sz w:val="20"/>
              </w:rPr>
              <w:t>O mapa das formas de atuação, da adesão à resistência, e das condições em que aparecem</w:t>
            </w:r>
          </w:p>
        </w:tc>
      </w:tr>
      <w:tr>
        <w:tc>
          <w:tcPr>
            <w:tcW w:type="dxa" w:w="2351"/>
          </w:tcPr>
          <w:p>
            <w:r/>
            <w:r>
              <w:rPr>
                <w:rFonts w:ascii="Times New Roman" w:hAnsi="Times New Roman"/>
                <w:sz w:val="20"/>
              </w:rPr>
              <w:t>(d) Discutir as implicações dessas formas para a educação digital das crianças</w:t>
            </w:r>
          </w:p>
        </w:tc>
        <w:tc>
          <w:tcPr>
            <w:tcW w:type="dxa" w:w="2351"/>
          </w:tcPr>
          <w:p>
            <w:r/>
            <w:r>
              <w:rPr>
                <w:rFonts w:ascii="Times New Roman" w:hAnsi="Times New Roman"/>
                <w:sz w:val="20"/>
              </w:rPr>
              <w:t>Provisão, proteção e participação (ONU, 2021; Estatuto Digital). Leitura da lei no Capítulo 5; questionário (Bloco 5); entrevistas (Eixo 6)</w:t>
            </w:r>
          </w:p>
        </w:tc>
        <w:tc>
          <w:tcPr>
            <w:tcW w:type="dxa" w:w="2351"/>
          </w:tcPr>
          <w:p>
            <w:r/>
            <w:r>
              <w:rPr>
                <w:rFonts w:ascii="Times New Roman" w:hAnsi="Times New Roman"/>
                <w:sz w:val="20"/>
              </w:rPr>
              <w:t>5 e 7</w:t>
            </w:r>
          </w:p>
        </w:tc>
        <w:tc>
          <w:tcPr>
            <w:tcW w:type="dxa" w:w="2351"/>
          </w:tcPr>
          <w:p>
            <w:r/>
            <w:r>
              <w:rPr>
                <w:rFonts w:ascii="Times New Roman" w:hAnsi="Times New Roman"/>
                <w:sz w:val="20"/>
              </w:rPr>
              <w:t>O que a encenação da PNED produz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 xml:space="preserve">A pesquisadora residiu no distrito de Pipa, convive com o território há quase duas décadas e trabalhou dezoito anos na rede municipal de Tibau do Sul. Durante o ensino remoto emergencial, esteve na Escola Municipal Domitila Castelo da Silva.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rPr>
        <w:t xml:space="preserve">atende os anos iniciais do Ensino Fundamental, do 1º ao 5º ano, incluído o ciclo de alfabetização.</w:t>
      </w:r>
      <w:r>
        <w:rPr>
          <w:rFonts w:ascii="Times New Roman" w:hAnsi="Times New Roman"/>
          <w:sz w:val="24"/>
        </w:rPr>
        <w:t xml:space="preserve"> O caso tem limites claros. Consiste na chegada do eixo Educação Digital Escolar à Escola Municipal Domitila Castelo da Silva,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 questão norteadora, o objeto e o objetivo geral empregam o termo encenação, que ocupa nesta tese o lugar de implementação por razões que convém explicitar.</w:t>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 xml:space="preserve">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189-191),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xml:space="preserve">. No eixo Educação Digital Escolar, esse contexto reúne turmas do 1º ao 5º ano,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 xml:space="preserve">Antes de apresentar a tese de partida, um exemplo ajuda. Imaginemos uma escola que precisa mostrar à rede que trabalha educação digital com as turmas dos anos iniciais.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xml:space="preserve">, com os critérios fixados nesta subseção.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 xml:space="preserve">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 distrito turístico, e pode ganhar caráter de ressignificação. A resistência aparece quando a orientação é recusada ou contestada, de forma aberta ou não. Com Foucault, ela é lida como parte das relações de poder que a política mobiliza, já que essas relações “não são unívocas; definem inúmeros pontos de luta, focos de instabilidade comportando cada um seus riscos de conflito, de lutas e de inversão pelo menos transitória da relação de forças” (FOUCAULT, 1999, p. 29).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 xml:space="preserve">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no apoio à recomposição de aula, no apoio pedagógico, na coordenação ou na direção, essa variação será descrita como achado. A direção tem dois participantes, a coordenação, uma,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(Apêndices D e E)</w:t>
      </w:r>
      <w:r>
        <w:rPr>
          <w:rFonts w:ascii="Times New Roman" w:hAnsi="Times New Roman"/>
          <w:sz w:val="24"/>
        </w:rPr>
        <w:t xml:space="preserve">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Ball (2011, p. 46) adverte contra os estudos em que os sujeitos “emergem, resistentes e românticos, heróis althusserianos lutando contra a opressão”, e Freire (2019, p. 64-65) oferece o contrapeso à segunda leitura ao lembrar, em passagem já citada na Introdução, que o professor “precisa de condições favoráveis, higiênicas, espaciais, estéticas, sem as quais se move menos eficazmente no espaço pedagógico”.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 xml:space="preserve">A pesquisa acontece na Escola Municipal Domitila Castelo da Silva,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 xml:space="preserve">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 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xml:space="preserve">. Ball, Maguire e Braun (2016, p. 74-75) registram essa diferença ao observar que “os atores nas escolas são posicionados de forma diferente e assumem posições diversas em relação à política”, e manteremos essa distinção durante toda a análise.</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 xml:space="preserve">Um técnico da Secretaria Municipal de Educação, o coordenador de políticas públicas e programas educacionais do município, será ouvido como fonte complementar sobre o contexto externo, isto é, sobre como as orientações nacionais são recebidas e encaminhadas pela gestão municipal antes de chegar à escola; os documentos da Secretaria completam essa leitura, e a unidade do caso continua sendo a escola.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 xml:space="preserve">Participarão da pesquisa os profissionais da educação da Escola Municipal Domitila Castelo da Silva que atuam nos anos iniciais do Ensino Fundamental, do 1º ao 5º ano, e aceitarem o convite: as professoras e os professores regentes das quinze turmas, os dois docentes que atuam no apoio à recomposição de aula, os quatro profissionais do apoio pedagógico, a coordenadora pedagógica, a vice-diretora e o diretor, num total de 24 profissionais. Participa também um técnico da Secretaria Municipal de Educação, o coordenador de políticas públicas e programas educacionais do município, como fonte complementar, sem constituir um segundo caso.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 xml:space="preserve">Os docentes trabalham com as turmas do 1º ao 5º ano. Segundo o relatório de turmas da Secretaria de Educação de Tibau do Sul, a escola tem, em 2026, quinze turmas nos anos iniciais, três em cada ano de escolaridade, sete no turno matutino e oito no vespertino, com 351 crianças matriculadas: 62 no 1º ano, 66 no 2º, 68 no 3º, 81 no 4º e 74 no 5º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Mesmo sem ouvi-las, é por elas que esta pesquisa existe.</w:t>
      </w:r>
    </w:p>
    <w:p>
      <w:pPr>
        <w:spacing w:line="360" w:lineRule="auto"/>
        <w:ind w:firstLine="709"/>
        <w:jc w:val="both"/>
      </w:pPr>
      <w:r>
        <w:rPr>
          <w:rFonts w:ascii="Times New Roman" w:hAnsi="Times New Roman"/>
          <w:sz w:val="24"/>
        </w:rPr>
        <w:t xml:space="preserve">Completam o grupo os dois docentes do apoio à recomposição de aula, os quatro profissionais do apoio pedagógico, a coordenadora pedagógica, a vice-diretora e o diretor,</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cada qual com as responsabilidades, as condições e as possibilidades de ação próprias da função.</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apresentados nas subseções seguintes e na seção 4.5. O primeiro é a análise documental, que começa com a entrada no campo, quando os documentos são solicitados à escola e à Secretaria, e acompanha todo o percurso. O segundo, o registro iconográfico, já foi realizado e sustenta o Capítulo 6. O terceiro é o questionário de perfil e percepções, que situa os participantes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que só começam depois da sistematização do questionário e nas quais aparecem as interpretações, os sentidos e as justificativas dos profissionais.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F (Caderno Iconográfico da Pesquisa), reúne as trinta e </w:t>
      </w:r>
      <w:r>
        <w:rPr>
          <w:rFonts w:ascii="Times New Roman" w:hAnsi="Times New Roman"/>
          <w:sz w:val="24"/>
        </w:rPr>
        <w:t>oito</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xml:space="preserve">, e duas peças cartográficas complementares, identificadas como F.1 e F.2,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 xml:space="preserve">No índice do Apêndice F,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da Silva;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 xml:space="preserve">O questionário serve para situar as pessoas e ajustar as conversas, e é esse o seu alcance.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(Apêndice D)</w:t>
      </w:r>
      <w:r>
        <w:rPr>
          <w:rFonts w:ascii="Times New Roman" w:hAnsi="Times New Roman"/>
          <w:sz w:val="24"/>
        </w:rPr>
        <w:t xml:space="preserve">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 xml:space="preserve">As entrevistas semiestruturadas são o principal momento de escuta. Serão individuais, com duração aproximada de 60 a 90 minutos, realizadas em espaço reservado, gravadas com o consentimento dos participantes e transcritas integralmente. O roteiro (Apêndice E)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Com o técnico da Secretaria Municipal de Educação, o roteiro aborda a compreensão municipal da PNED, as orientações repassadas às escolas, as ações realizadas, os processos de formação, as formas de acompanhamento, as condições oferecidas às unidades escolares e as dificuldades e possibilidades percebidas. Essa escuta ajuda a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 xml:space="preserve">As fases da análise temática reflexiva (BRAUN; CLARKE, 2006, 2019) serão reunidas, nesta pesquisa, em três etapas: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 xml:space="preserve">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da Silva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 xml:space="preserve">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da Silva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 xml:space="preserve">O quarto é a reflexividade da pesquisadora, registrada ao longo do trabalho no diário de campo. Esse material alimentará a Declaração de Reflexividade do Apêndice G,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rPr>
        <w:t>de leitura das formas de atuação,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 xml:space="preserve">Vêm então quatro semanas, núcleo da produção dos dados orais e documentais. Na primeira quinzena, entrevistaremos a coordenadora pedagógica, a vice-diretora, o diretor e o técnico da Secretaria Municipal de Educação,</w:t>
      </w:r>
      <w:r>
        <w:rPr>
          <w:rFonts w:ascii="Times New Roman" w:hAnsi="Times New Roman"/>
          <w:sz w:val="24"/>
        </w:rPr>
        <w:t xml:space="preserve"/>
      </w:r>
      <w:r>
        <w:rPr>
          <w:rFonts w:ascii="Times New Roman" w:hAnsi="Times New Roman"/>
          <w:sz w:val="24"/>
        </w:rPr>
        <w:t xml:space="preserve"> para mapear o quadro institucional que orienta o acompanhamento da política </w:t>
      </w:r>
      <w:r>
        <w:rPr>
          <w:rFonts w:ascii="Times New Roman" w:hAnsi="Times New Roman"/>
          <w:sz w:val="24"/>
        </w:rPr>
        <w:t>na escola</w:t>
      </w:r>
      <w:r>
        <w:rPr>
          <w:rFonts w:ascii="Times New Roman" w:hAnsi="Times New Roman"/>
          <w:sz w:val="24"/>
        </w:rPr>
        <w:t xml:space="preserve">. Na segunda, faremos as entrevistas individuais com os </w:t>
      </w:r>
      <w:r>
        <w:rPr>
          <w:rFonts w:ascii="Times New Roman" w:hAnsi="Times New Roman"/>
          <w:sz w:val="24"/>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xml:space="preserve">), a amostragem intencional tem validade dentro de um contexto específico e não autoriza a generalização dos resultados para a população.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 xml:space="preserve">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G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 xml:space="preserve">Com esse desenho, cada capítulo de análise contribui para responder à questão norteadora. O Capítulo 5 examina o que a política promete e com que meios. O Capítulo 6 caracteriza as condições de recepção na escola e no território.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se alfabetizam ou consolidam a leitura e a escrita enquanto aprendem a conviver com o digital, e o direito que a lei lhes deu já está valendo.</w:t>
      </w:r>
    </w:p>
    <w:p>
      <w:pPr>
        <w:pageBreakBefore/>
        <w:spacing w:line="360" w:lineRule="auto" w:before="240" w:after="240"/>
        <w:ind w:firstLine="0"/>
        <w:jc w:val="center"/>
      </w:pPr>
      <w:r>
        <w:rPr>
          <w:rFonts w:ascii="Times New Roman" w:hAnsi="Times New Roman"/>
          <w:b/>
          <w:sz w:val="24"/>
        </w:rPr>
        <w:t>REFERÊNCIAS</w:t>
      </w:r>
    </w:p>
    <w:p>
      <w:pPr>
        <w:spacing w:line="240" w:lineRule="auto" w:after="240"/>
        <w:jc w:val="left"/>
      </w:pPr>
      <w:r>
        <w:rPr>
          <w:rFonts w:ascii="Times New Roman" w:hAnsi="Times New Roman"/>
          <w:sz w:val="24"/>
        </w:rPr>
        <w:t xml:space="preserve">ANDRÉ, Marli Eliza Dalmazo Afonso de. </w:t>
      </w:r>
      <w:r>
        <w:rPr>
          <w:b/>
          <w:rFonts w:ascii="Times New Roman" w:hAnsi="Times New Roman"/>
          <w:sz w:val="24"/>
        </w:rPr>
        <w:t xml:space="preserve">Estudo de caso em pesquisa e avaliação educacional</w:t>
      </w:r>
      <w:r>
        <w:rPr>
          <w:rFonts w:ascii="Times New Roman" w:hAnsi="Times New Roman"/>
          <w:sz w:val="24"/>
        </w:rPr>
        <w:t xml:space="preserve">. Brasília, DF: Líber Livro, 2005.</w:t>
      </w:r>
    </w:p>
    <w:p>
      <w:pPr>
        <w:spacing w:line="360" w:lineRule="auto"/>
        <w:ind w:firstLine="709"/>
        <w:jc w:val="left"/>
      </w:pPr>
      <w:r>
        <w:rPr>
          <w:rFonts w:ascii="Times New Roman" w:hAnsi="Times New Roman"/>
          <w:sz w:val="24"/>
        </w:rPr>
        <w:t xml:space="preserve">BALL, Stephen J. Reformar escolas/reformar professores e os terrores da performatividade. </w:t>
      </w:r>
      <w:r>
        <w:rPr>
          <w:b/>
          <w:rFonts w:ascii="Times New Roman" w:hAnsi="Times New Roman"/>
          <w:sz w:val="24"/>
        </w:rPr>
        <w:t xml:space="preserve">Revista Portuguesa de Educação</w:t>
      </w:r>
      <w:r>
        <w:rPr>
          <w:rFonts w:ascii="Times New Roman" w:hAnsi="Times New Roman"/>
          <w:sz w:val="24"/>
        </w:rPr>
        <w:t xml:space="preserve">, Braga, v. 15, n. 2, p. 3-23, 2002.</w:t>
      </w:r>
    </w:p>
    <w:p>
      <w:pPr>
        <w:spacing w:line="240" w:lineRule="auto" w:after="240"/>
        <w:jc w:val="left"/>
      </w:pPr>
      <w:r>
        <w:rPr>
          <w:rFonts w:ascii="Times New Roman" w:hAnsi="Times New Roman"/>
          <w:sz w:val="24"/>
        </w:rPr>
        <w:t xml:space="preserve">BALL, Stephen J. Performatividade, privatização e o pós-Estado do bem-estar. </w:t>
      </w:r>
      <w:r>
        <w:rPr>
          <w:b/>
          <w:rFonts w:ascii="Times New Roman" w:hAnsi="Times New Roman"/>
          <w:sz w:val="24"/>
        </w:rPr>
        <w:t xml:space="preserve">Educação &amp; Sociedade</w:t>
      </w:r>
      <w:r>
        <w:rPr>
          <w:rFonts w:ascii="Times New Roman" w:hAnsi="Times New Roman"/>
          <w:sz w:val="24"/>
        </w:rPr>
        <w:t xml:space="preserve">, Campinas, v. 25, n. 89, p. 1105-1126, set./dez. 2004. DOI: https://doi.org/10.1590/S0101-73302004000400002.</w:t>
      </w:r>
    </w:p>
    <w:p>
      <w:pPr>
        <w:spacing w:line="240" w:lineRule="auto" w:after="240"/>
        <w:jc w:val="left"/>
      </w:pPr>
      <w:r>
        <w:rPr>
          <w:rFonts w:ascii="Times New Roman" w:hAnsi="Times New Roman"/>
          <w:sz w:val="24"/>
        </w:rPr>
        <w:t xml:space="preserve">BALL, Stephen J. </w:t>
      </w:r>
      <w:r>
        <w:rPr>
          <w:b/>
          <w:rFonts w:ascii="Times New Roman" w:hAnsi="Times New Roman"/>
          <w:sz w:val="24"/>
        </w:rPr>
        <w:t xml:space="preserve">The education debate</w:t>
      </w:r>
      <w:r>
        <w:rPr>
          <w:rFonts w:ascii="Times New Roman" w:hAnsi="Times New Roman"/>
          <w:sz w:val="24"/>
        </w:rPr>
        <w:t xml:space="preserve">. Bristol: The Policy Press, 2008.</w:t>
      </w:r>
    </w:p>
    <w:p>
      <w:pPr>
        <w:spacing w:line="240" w:lineRule="auto" w:after="240"/>
        <w:jc w:val="left"/>
      </w:pPr>
      <w:r>
        <w:rPr>
          <w:rFonts w:ascii="Times New Roman" w:hAnsi="Times New Roman"/>
          <w:sz w:val="24"/>
        </w:rPr>
        <w:t xml:space="preserve">BALL, Stephen J. Sociologia das políticas educacionais e pesquisa crítico-social: uma revisão pessoal das políticas educacionais e da pesquisa em política educacional. In: BALL, Stephen J.; MAINARDES, Jefferson (org.). </w:t>
      </w:r>
      <w:r>
        <w:rPr>
          <w:b/>
          <w:rFonts w:ascii="Times New Roman" w:hAnsi="Times New Roman"/>
          <w:sz w:val="24"/>
        </w:rPr>
        <w:t xml:space="preserve">Políticas educacionais</w:t>
      </w:r>
      <w:r>
        <w:rPr>
          <w:rFonts w:ascii="Times New Roman" w:hAnsi="Times New Roman"/>
          <w:sz w:val="24"/>
        </w:rPr>
        <w:t xml:space="preserve">: questões e dilemas. São Paulo: Cortez, 2011. p. 21-53.</w:t>
      </w:r>
    </w:p>
    <w:p>
      <w:pPr>
        <w:spacing w:line="240" w:lineRule="auto" w:after="240"/>
        <w:jc w:val="left"/>
      </w:pPr>
      <w:r>
        <w:rPr>
          <w:rFonts w:ascii="Times New Roman" w:hAnsi="Times New Roman"/>
          <w:sz w:val="24"/>
        </w:rPr>
        <w:t xml:space="preserve">BALL, Stephen J.; MAGUIRE, Meg; BRAUN, Annette. </w:t>
      </w:r>
      <w:r>
        <w:rPr>
          <w:b/>
          <w:rFonts w:ascii="Times New Roman" w:hAnsi="Times New Roman"/>
          <w:sz w:val="24"/>
        </w:rPr>
        <w:t xml:space="preserve">Como as escolas fazem as políticas</w:t>
      </w:r>
      <w:r>
        <w:rPr>
          <w:rFonts w:ascii="Times New Roman" w:hAnsi="Times New Roman"/>
          <w:sz w:val="24"/>
        </w:rPr>
        <w:t xml:space="preserve">: atuação em escolas secundárias. Tradução de Janete Bridon. Ponta Grossa: Editora UEPG, 2016.</w:t>
      </w:r>
    </w:p>
    <w:p>
      <w:pPr>
        <w:spacing w:line="240" w:lineRule="auto" w:after="240"/>
        <w:jc w:val="left"/>
      </w:pPr>
      <w:r>
        <w:rPr>
          <w:rFonts w:ascii="Times New Roman" w:hAnsi="Times New Roman"/>
          <w:sz w:val="24"/>
        </w:rPr>
        <w:t xml:space="preserve">BOGDAN, Robert C.; BIKLEN, Sari Knopp. </w:t>
      </w:r>
      <w:r>
        <w:rPr>
          <w:b/>
          <w:rFonts w:ascii="Times New Roman" w:hAnsi="Times New Roman"/>
          <w:sz w:val="24"/>
        </w:rPr>
        <w:t xml:space="preserve">Qualitative research for education</w:t>
      </w:r>
      <w:r>
        <w:rPr>
          <w:rFonts w:ascii="Times New Roman" w:hAnsi="Times New Roman"/>
          <w:sz w:val="24"/>
        </w:rPr>
        <w:t xml:space="preserve">: an introduction to theory and methods. 5. ed. Boston: Pearson/Allyn &amp; Bacon, 2007.</w:t>
      </w:r>
    </w:p>
    <w:p>
      <w:pPr>
        <w:spacing w:line="240" w:lineRule="auto" w:after="240"/>
        <w:jc w:val="left"/>
      </w:pPr>
      <w:r>
        <w:rPr>
          <w:rFonts w:ascii="Times New Roman" w:hAnsi="Times New Roman"/>
          <w:sz w:val="24"/>
        </w:rPr>
        <w:t xml:space="preserve">BOWE, Richard; BALL, Stephen J.; GOLD, Anne. </w:t>
      </w:r>
      <w:r>
        <w:rPr>
          <w:b/>
          <w:rFonts w:ascii="Times New Roman" w:hAnsi="Times New Roman"/>
          <w:sz w:val="24"/>
        </w:rPr>
        <w:t xml:space="preserve">Reforming education and changing schools</w:t>
      </w:r>
      <w:r>
        <w:rPr>
          <w:rFonts w:ascii="Times New Roman" w:hAnsi="Times New Roman"/>
          <w:sz w:val="24"/>
        </w:rPr>
        <w:t xml:space="preserve">: case studies in policy sociology. London: Routledge, 1992.</w:t>
      </w:r>
    </w:p>
    <w:p>
      <w:pPr>
        <w:spacing w:line="240" w:lineRule="auto" w:after="240"/>
        <w:jc w:val="left"/>
      </w:pPr>
      <w:r>
        <w:rPr>
          <w:rFonts w:ascii="Times New Roman" w:hAnsi="Times New Roman"/>
          <w:sz w:val="24"/>
        </w:rPr>
        <w:t xml:space="preserve">BRASIL. Lei nº 9.394, de 20 de dezembro de 1996. Estabelece as diretrizes e bases da educação nacional. Brasília, DF: </w:t>
      </w:r>
      <w:r>
        <w:rPr>
          <w:b/>
          <w:rFonts w:ascii="Times New Roman" w:hAnsi="Times New Roman"/>
          <w:sz w:val="24"/>
        </w:rPr>
        <w:t xml:space="preserve">Diário Oficial da União</w:t>
      </w:r>
      <w:r>
        <w:rPr>
          <w:rFonts w:ascii="Times New Roman" w:hAnsi="Times New Roman"/>
          <w:sz w:val="24"/>
        </w:rPr>
        <w:t xml:space="preserve">, 1996.</w:t>
      </w:r>
    </w:p>
    <w:p>
      <w:pPr>
        <w:spacing w:line="240" w:lineRule="auto" w:after="240"/>
        <w:jc w:val="left"/>
      </w:pPr>
      <w:r>
        <w:rPr>
          <w:rFonts w:ascii="Times New Roman" w:hAnsi="Times New Roman"/>
          <w:sz w:val="24"/>
        </w:rPr>
        <w:t xml:space="preserve">BRASIL. Conselho Nacional de Saúde. Resolução nº 466, de 12 de dezembro de 2012. </w:t>
      </w:r>
      <w:r>
        <w:rPr>
          <w:b/>
          <w:rFonts w:ascii="Times New Roman" w:hAnsi="Times New Roman"/>
          <w:sz w:val="24"/>
        </w:rPr>
        <w:t xml:space="preserve">Diário Oficial da União</w:t>
      </w:r>
      <w:r>
        <w:rPr>
          <w:rFonts w:ascii="Times New Roman" w:hAnsi="Times New Roman"/>
          <w:sz w:val="24"/>
        </w:rPr>
        <w:t xml:space="preserve">: Brasília, DF, 13 jun. 2013.</w:t>
      </w:r>
    </w:p>
    <w:p>
      <w:pPr>
        <w:spacing w:line="240" w:lineRule="auto" w:after="240"/>
        <w:jc w:val="left"/>
      </w:pPr>
      <w:r>
        <w:rPr>
          <w:rFonts w:ascii="Times New Roman" w:hAnsi="Times New Roman"/>
          <w:sz w:val="24"/>
        </w:rPr>
        <w:t xml:space="preserve">BRASIL. Conselho Nacional de Saúde. Resolução nº 510, de 7 de abril de 2016. </w:t>
      </w:r>
      <w:r>
        <w:rPr>
          <w:b/>
          <w:rFonts w:ascii="Times New Roman" w:hAnsi="Times New Roman"/>
          <w:sz w:val="24"/>
        </w:rPr>
        <w:t xml:space="preserve">Diário Oficial da União</w:t>
      </w:r>
      <w:r>
        <w:rPr>
          <w:rFonts w:ascii="Times New Roman" w:hAnsi="Times New Roman"/>
          <w:sz w:val="24"/>
        </w:rPr>
        <w:t xml:space="preserve">: Brasília, DF, 24 maio 2016.</w:t>
      </w:r>
    </w:p>
    <w:p>
      <w:pPr>
        <w:spacing w:line="240" w:lineRule="auto" w:after="240"/>
        <w:jc w:val="left"/>
      </w:pPr>
      <w:r>
        <w:rPr>
          <w:rFonts w:ascii="Times New Roman" w:hAnsi="Times New Roman"/>
          <w:sz w:val="24"/>
        </w:rPr>
        <w:t xml:space="preserve">BRASIL. Lei nº 14.180, de 1º de julho de 2021. Institui a Política de Inovação Educação Conectada. </w:t>
      </w:r>
      <w:r>
        <w:rPr>
          <w:b/>
          <w:rFonts w:ascii="Times New Roman" w:hAnsi="Times New Roman"/>
          <w:sz w:val="24"/>
        </w:rPr>
        <w:t xml:space="preserve">Diário Oficial da União</w:t>
      </w:r>
      <w:r>
        <w:rPr>
          <w:rFonts w:ascii="Times New Roman" w:hAnsi="Times New Roman"/>
          <w:sz w:val="24"/>
        </w:rPr>
        <w:t xml:space="preserve">: Brasília, DF, 2 jul. 2021.</w:t>
      </w:r>
    </w:p>
    <w:p>
      <w:pPr>
        <w:spacing w:line="240" w:lineRule="auto" w:after="240"/>
        <w:jc w:val="left"/>
      </w:pPr>
      <w:r>
        <w:rPr>
          <w:rFonts w:ascii="Times New Roman" w:hAnsi="Times New Roman"/>
          <w:sz w:val="24"/>
        </w:rPr>
        <w:t xml:space="preserve">BRASIL. Lei nº 14.533, de 11 de janeiro de 2023. Institui a Política Nacional de Educação Digital. </w:t>
      </w:r>
      <w:r>
        <w:rPr>
          <w:b/>
          <w:rFonts w:ascii="Times New Roman" w:hAnsi="Times New Roman"/>
          <w:sz w:val="24"/>
        </w:rPr>
        <w:t xml:space="preserve">Diário Oficial da União</w:t>
      </w:r>
      <w:r>
        <w:rPr>
          <w:rFonts w:ascii="Times New Roman" w:hAnsi="Times New Roman"/>
          <w:sz w:val="24"/>
        </w:rPr>
        <w:t xml:space="preserve">: Brasília, DF, 12 jan. 2023.</w:t>
      </w:r>
    </w:p>
    <w:p>
      <w:pPr>
        <w:spacing w:line="240" w:lineRule="auto" w:after="240"/>
        <w:jc w:val="left"/>
      </w:pPr>
      <w:r>
        <w:rPr>
          <w:rFonts w:ascii="Times New Roman" w:hAnsi="Times New Roman"/>
          <w:sz w:val="24"/>
        </w:rPr>
        <w:t xml:space="preserve">BRASIL. Lei nº 14.817, de 16 de janeiro de 2024. Estabelece diretrizes para a valorização dos profissionais da educação escolar básica pública. Brasília, DF: </w:t>
      </w:r>
      <w:r>
        <w:rPr>
          <w:b/>
          <w:rFonts w:ascii="Times New Roman" w:hAnsi="Times New Roman"/>
          <w:sz w:val="24"/>
        </w:rPr>
        <w:t xml:space="preserve">Diário Oficial da União</w:t>
      </w:r>
      <w:r>
        <w:rPr>
          <w:rFonts w:ascii="Times New Roman" w:hAnsi="Times New Roman"/>
          <w:sz w:val="24"/>
        </w:rPr>
        <w:t xml:space="preserve">, 2024.</w:t>
      </w:r>
    </w:p>
    <w:p>
      <w:pPr>
        <w:spacing w:line="240" w:lineRule="auto" w:after="240"/>
        <w:jc w:val="left"/>
      </w:pPr>
      <w:r>
        <w:rPr>
          <w:rFonts w:ascii="Times New Roman" w:hAnsi="Times New Roman"/>
          <w:sz w:val="24"/>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w:t>
      </w:r>
      <w:r>
        <w:rPr>
          <w:b/>
          <w:rFonts w:ascii="Times New Roman" w:hAnsi="Times New Roman"/>
          <w:sz w:val="24"/>
        </w:rPr>
        <w:t xml:space="preserve">Diário Oficial da União</w:t>
      </w:r>
      <w:r>
        <w:rPr>
          <w:rFonts w:ascii="Times New Roman" w:hAnsi="Times New Roman"/>
          <w:sz w:val="24"/>
        </w:rPr>
        <w:t xml:space="preserve">, 2025.</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Base Nacional Comum Curricular</w:t>
      </w:r>
      <w:r>
        <w:rPr>
          <w:rFonts w:ascii="Times New Roman" w:hAnsi="Times New Roman"/>
          <w:sz w:val="24"/>
        </w:rPr>
        <w:t xml:space="preserve">. Brasília, DF: MEC, 2018.</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Complementação à Base Nacional Comum Curricular para Computação na Educação Básica</w:t>
      </w:r>
      <w:r>
        <w:rPr>
          <w:rFonts w:ascii="Times New Roman" w:hAnsi="Times New Roman"/>
          <w:sz w:val="24"/>
        </w:rPr>
        <w:t xml:space="preserve">. Brasília, DF: MEC, 2022.</w:t>
      </w:r>
    </w:p>
    <w:p>
      <w:pPr>
        <w:spacing w:line="240" w:lineRule="auto" w:after="240"/>
        <w:jc w:val="left"/>
      </w:pPr>
      <w:r>
        <w:rPr>
          <w:rFonts w:ascii="Times New Roman" w:hAnsi="Times New Roman"/>
          <w:sz w:val="24"/>
        </w:rPr>
        <w:t xml:space="preserve">BRAUN, Virginia; CLARKE, Victoria. Reflecting on reflexive thematic analysis. </w:t>
      </w:r>
      <w:r>
        <w:rPr>
          <w:b/>
          <w:rFonts w:ascii="Times New Roman" w:hAnsi="Times New Roman"/>
          <w:sz w:val="24"/>
        </w:rPr>
        <w:t xml:space="preserve">Qualitative Research in Sport, Exercise and Health</w:t>
      </w:r>
      <w:r>
        <w:rPr>
          <w:rFonts w:ascii="Times New Roman" w:hAnsi="Times New Roman"/>
          <w:sz w:val="24"/>
        </w:rPr>
        <w:t xml:space="preserve">, v. 11, n. 4, p. 589-597, 2019. DOI: https://doi.org/10.1080/2159676X.2019.1628806.</w:t>
      </w:r>
    </w:p>
    <w:p>
      <w:pPr>
        <w:spacing w:line="240" w:lineRule="auto" w:after="240"/>
        <w:jc w:val="left"/>
      </w:pPr>
      <w:r>
        <w:rPr>
          <w:rFonts w:ascii="Times New Roman" w:hAnsi="Times New Roman"/>
          <w:sz w:val="24"/>
        </w:rPr>
        <w:t xml:space="preserve">BRAUN, Virginia; CLARKE, Victoria. Using thematic analysis in psychology. </w:t>
      </w:r>
      <w:r>
        <w:rPr>
          <w:b/>
          <w:rFonts w:ascii="Times New Roman" w:hAnsi="Times New Roman"/>
          <w:sz w:val="24"/>
        </w:rPr>
        <w:t xml:space="preserve">Qualitative Research in Psychology</w:t>
      </w:r>
      <w:r>
        <w:rPr>
          <w:rFonts w:ascii="Times New Roman" w:hAnsi="Times New Roman"/>
          <w:sz w:val="24"/>
        </w:rPr>
        <w:t xml:space="preserve">, v. 3, n. 2, p. 77-101, 2006. DOI: https://doi.org/10.1191/1478088706qp063oa.</w:t>
      </w:r>
    </w:p>
    <w:p>
      <w:pPr>
        <w:spacing w:line="240" w:lineRule="auto" w:after="240"/>
        <w:jc w:val="left"/>
      </w:pPr>
      <w:r>
        <w:rPr>
          <w:rFonts w:ascii="Times New Roman" w:hAnsi="Times New Roman"/>
          <w:sz w:val="24"/>
        </w:rPr>
        <w:t xml:space="preserve">FOUCAULT, Michel. </w:t>
      </w:r>
      <w:r>
        <w:rPr>
          <w:b/>
          <w:rFonts w:ascii="Times New Roman" w:hAnsi="Times New Roman"/>
          <w:sz w:val="24"/>
        </w:rPr>
        <w:t xml:space="preserve">Vigiar e punir</w:t>
      </w:r>
      <w:r>
        <w:rPr>
          <w:rFonts w:ascii="Times New Roman" w:hAnsi="Times New Roman"/>
          <w:sz w:val="24"/>
        </w:rPr>
        <w:t xml:space="preserve">: nascimento da prisão. Tradução de Raquel Ramalhete. 20. ed. Petrópolis: Vozes, 1999.</w:t>
      </w:r>
    </w:p>
    <w:p>
      <w:pPr>
        <w:spacing w:line="240" w:lineRule="auto" w:after="240"/>
        <w:jc w:val="left"/>
      </w:pPr>
      <w:r>
        <w:rPr>
          <w:rFonts w:ascii="Times New Roman" w:hAnsi="Times New Roman"/>
          <w:sz w:val="24"/>
        </w:rPr>
        <w:t xml:space="preserve">FREIRE, Paulo. </w:t>
      </w:r>
      <w:r>
        <w:rPr>
          <w:b/>
          <w:rFonts w:ascii="Times New Roman" w:hAnsi="Times New Roman"/>
          <w:sz w:val="24"/>
        </w:rPr>
        <w:t xml:space="preserve">Pedagogia da autonomia</w:t>
      </w:r>
      <w:r>
        <w:rPr>
          <w:rFonts w:ascii="Times New Roman" w:hAnsi="Times New Roman"/>
          <w:sz w:val="24"/>
        </w:rPr>
        <w:t xml:space="preserve">: saberes necessários à prática educativa. 60. ed. Rio de Janeiro: Paz e Terra, 2019.</w:t>
      </w:r>
    </w:p>
    <w:p>
      <w:pPr>
        <w:spacing w:line="360" w:lineRule="auto"/>
        <w:ind w:firstLine="709"/>
        <w:jc w:val="left"/>
      </w:pPr>
      <w:r>
        <w:rPr>
          <w:rFonts w:ascii="Times New Roman" w:hAnsi="Times New Roman"/>
          <w:sz w:val="24"/>
        </w:rPr>
        <w:t xml:space="preserve">HARGREAVES, Andy. </w:t>
      </w:r>
      <w:r>
        <w:rPr>
          <w:b/>
          <w:rFonts w:ascii="Times New Roman" w:hAnsi="Times New Roman"/>
          <w:sz w:val="24"/>
        </w:rPr>
        <w:t xml:space="preserve">Profesorado, cultura y postmodernidad</w:t>
      </w:r>
      <w:r>
        <w:rPr>
          <w:rFonts w:ascii="Times New Roman" w:hAnsi="Times New Roman"/>
          <w:sz w:val="24"/>
        </w:rPr>
        <w:t xml:space="preserve">: cambian los tiempos, cambia el profesorado. 5. ed. Madrid: Morata, 2005.</w:t>
      </w:r>
    </w:p>
    <w:p>
      <w:pPr>
        <w:spacing w:line="240" w:lineRule="auto" w:after="240"/>
        <w:jc w:val="left"/>
      </w:pPr>
      <w:r>
        <w:rPr>
          <w:rFonts w:ascii="Times New Roman" w:hAnsi="Times New Roman"/>
          <w:sz w:val="24"/>
        </w:rPr>
        <w:t xml:space="preserve">MAINARDES, Jefferson. Abordagem do ciclo de políticas: uma contribuição para a análise de políticas educacionais. </w:t>
      </w:r>
      <w:r>
        <w:rPr>
          <w:b/>
          <w:rFonts w:ascii="Times New Roman" w:hAnsi="Times New Roman"/>
          <w:sz w:val="24"/>
        </w:rPr>
        <w:t xml:space="preserve">Educação &amp; Sociedade</w:t>
      </w:r>
      <w:r>
        <w:rPr>
          <w:rFonts w:ascii="Times New Roman" w:hAnsi="Times New Roman"/>
          <w:sz w:val="24"/>
        </w:rPr>
        <w:t xml:space="preserve">, Campinas, v. 27, n. 94, p. 47-69, jan./abr. 2006. DOI: https://doi.org/10.1590/S0101-73302006000100003.</w:t>
      </w:r>
    </w:p>
    <w:p>
      <w:pPr>
        <w:spacing w:line="240" w:lineRule="auto" w:after="240"/>
        <w:jc w:val="left"/>
      </w:pPr>
      <w:r>
        <w:rPr>
          <w:rFonts w:ascii="Times New Roman" w:hAnsi="Times New Roman"/>
          <w:sz w:val="24"/>
        </w:rPr>
        <w:t xml:space="preserve">MARCONI, Marina de Andrade; LAKATOS, Eva Maria. </w:t>
      </w:r>
      <w:r>
        <w:rPr>
          <w:b/>
          <w:rFonts w:ascii="Times New Roman" w:hAnsi="Times New Roman"/>
          <w:sz w:val="24"/>
        </w:rPr>
        <w:t xml:space="preserve">Metodologia científica</w:t>
      </w:r>
      <w:r>
        <w:rPr>
          <w:rFonts w:ascii="Times New Roman" w:hAnsi="Times New Roman"/>
          <w:sz w:val="24"/>
        </w:rPr>
        <w:t xml:space="preserve">. 5. ed. São Paulo: Atlas, 2007.</w:t>
      </w:r>
    </w:p>
    <w:p>
      <w:pPr>
        <w:spacing w:line="240" w:lineRule="auto" w:after="240"/>
        <w:jc w:val="left"/>
      </w:pPr>
      <w:r>
        <w:rPr>
          <w:rFonts w:ascii="Times New Roman" w:hAnsi="Times New Roman"/>
          <w:sz w:val="24"/>
        </w:rPr>
        <w:t xml:space="preserve">MINAYO, Maria Cecília de Souza (org.). </w:t>
      </w:r>
      <w:r>
        <w:rPr>
          <w:b/>
          <w:rFonts w:ascii="Times New Roman" w:hAnsi="Times New Roman"/>
          <w:sz w:val="24"/>
        </w:rPr>
        <w:t xml:space="preserve">Pesquisa social</w:t>
      </w:r>
      <w:r>
        <w:rPr>
          <w:rFonts w:ascii="Times New Roman" w:hAnsi="Times New Roman"/>
          <w:sz w:val="24"/>
        </w:rPr>
        <w:t xml:space="preserve">: teoria, método e criatividade. 28. ed. Petrópolis, RJ: Vozes, 2009.</w:t>
      </w:r>
    </w:p>
    <w:p>
      <w:pPr>
        <w:spacing w:line="240" w:lineRule="auto" w:after="240"/>
        <w:jc w:val="left"/>
      </w:pPr>
      <w:r>
        <w:rPr>
          <w:rFonts w:ascii="Times New Roman" w:hAnsi="Times New Roman"/>
          <w:sz w:val="24"/>
        </w:rPr>
        <w:t xml:space="preserve">OLIVEIRA, Dalila Andrade; VIEIRA, Lívia Fraga. </w:t>
      </w:r>
      <w:r>
        <w:rPr>
          <w:b/>
          <w:rFonts w:ascii="Times New Roman" w:hAnsi="Times New Roman"/>
          <w:sz w:val="24"/>
        </w:rPr>
        <w:t xml:space="preserve">Trabalho na educação em sete estados brasileiros</w:t>
      </w:r>
      <w:r>
        <w:rPr>
          <w:rFonts w:ascii="Times New Roman" w:hAnsi="Times New Roman"/>
          <w:sz w:val="24"/>
        </w:rPr>
        <w:t xml:space="preserve">. Belo Horizonte: Fino Traço, 2012.</w:t>
      </w:r>
    </w:p>
    <w:p>
      <w:pPr>
        <w:spacing w:line="360" w:lineRule="auto"/>
        <w:ind w:firstLine="709"/>
        <w:jc w:val="left"/>
      </w:pPr>
      <w:r>
        <w:rPr>
          <w:rFonts w:ascii="Times New Roman" w:hAnsi="Times New Roman"/>
          <w:sz w:val="24"/>
        </w:rPr>
        <w:t xml:space="preserve">ONU. Comitê dos Direitos da Criança. </w:t>
      </w:r>
      <w:r>
        <w:rPr>
          <w:b/>
          <w:rFonts w:ascii="Times New Roman" w:hAnsi="Times New Roman"/>
          <w:sz w:val="24"/>
        </w:rPr>
        <w:t xml:space="preserve">Comentário Geral nº 25 (2021) sobre os direitos das crianças em relação ao ambiente digital</w:t>
      </w:r>
      <w:r>
        <w:rPr>
          <w:rFonts w:ascii="Times New Roman" w:hAnsi="Times New Roman"/>
          <w:sz w:val="24"/>
        </w:rPr>
        <w:t xml:space="preserve">. CRC/C/GC/25. Genebra: ONU, 2021.</w:t>
      </w:r>
    </w:p>
    <w:p>
      <w:pPr>
        <w:spacing w:line="240" w:lineRule="auto" w:after="240"/>
        <w:jc w:val="left"/>
      </w:pPr>
      <w:r>
        <w:rPr>
          <w:rFonts w:ascii="Times New Roman" w:hAnsi="Times New Roman"/>
          <w:sz w:val="24"/>
        </w:rPr>
        <w:t xml:space="preserve">QUEIROZ, Maria Aparecida de; PAIVA, Maria Cristina Leandro de. A valorização do trabalho docente e a formação profissional. In: FRANÇA, Magna; MOMO, Mariângela (org.). </w:t>
      </w:r>
      <w:r>
        <w:rPr>
          <w:b/>
          <w:rFonts w:ascii="Times New Roman" w:hAnsi="Times New Roman"/>
          <w:sz w:val="24"/>
        </w:rPr>
        <w:t xml:space="preserve">Processo democrático participativo</w:t>
      </w:r>
      <w:r>
        <w:rPr>
          <w:rFonts w:ascii="Times New Roman" w:hAnsi="Times New Roman"/>
          <w:sz w:val="24"/>
        </w:rPr>
        <w:t xml:space="preserve">: a construção do PNE. Campinas: Mercado de Letras, 2014. p. 249-286.</w:t>
      </w:r>
    </w:p>
    <w:p>
      <w:pPr>
        <w:spacing w:line="240" w:lineRule="auto" w:after="240"/>
        <w:jc w:val="left"/>
      </w:pPr>
      <w:r>
        <w:rPr>
          <w:rFonts w:ascii="Times New Roman" w:hAnsi="Times New Roman"/>
          <w:sz w:val="24"/>
        </w:rPr>
        <w:t xml:space="preserve">SANTOS, Milton. </w:t>
      </w:r>
      <w:r>
        <w:rPr>
          <w:b/>
          <w:rFonts w:ascii="Times New Roman" w:hAnsi="Times New Roman"/>
          <w:sz w:val="24"/>
        </w:rPr>
        <w:t xml:space="preserve">Espaço e método</w:t>
      </w:r>
      <w:r>
        <w:rPr>
          <w:rFonts w:ascii="Times New Roman" w:hAnsi="Times New Roman"/>
          <w:sz w:val="24"/>
        </w:rPr>
        <w:t xml:space="preserve">. 5. ed., 1. reimpr. São Paulo: Editora da Universidade de São Paulo, 2012.</w:t>
      </w:r>
    </w:p>
    <w:p>
      <w:pPr>
        <w:spacing w:line="240" w:lineRule="auto" w:after="240"/>
        <w:jc w:val="left"/>
      </w:pPr>
      <w:r>
        <w:rPr>
          <w:rFonts w:ascii="Times New Roman" w:hAnsi="Times New Roman"/>
          <w:sz w:val="24"/>
        </w:rPr>
        <w:t xml:space="preserve">TIBAU DO SUL. Secretaria de Educação. </w:t>
      </w:r>
      <w:r>
        <w:rPr>
          <w:b/>
          <w:rFonts w:ascii="Times New Roman" w:hAnsi="Times New Roman"/>
          <w:sz w:val="24"/>
        </w:rPr>
        <w:t xml:space="preserve">Relatório sintético de turmas</w:t>
      </w:r>
      <w:r>
        <w:rPr>
          <w:rFonts w:ascii="Times New Roman" w:hAnsi="Times New Roman"/>
          <w:sz w:val="24"/>
        </w:rPr>
        <w:t xml:space="preserve">: EM Domitila Castelo da Silva, Ensino Fundamental – anos iniciais, ano 2026. Tibau do Sul: Portal SIGEduc, 2026. Emitido em 3 out. 2026.</w:t>
      </w:r>
    </w:p>
    <w:p>
      <w:pPr>
        <w:spacing w:line="240" w:lineRule="auto" w:after="240"/>
        <w:jc w:val="left"/>
      </w:pPr>
      <w:r>
        <w:rPr>
          <w:rFonts w:ascii="Times New Roman" w:hAnsi="Times New Roman"/>
          <w:sz w:val="24"/>
        </w:rPr>
        <w:t xml:space="preserve">YIN, Robert K. </w:t>
      </w:r>
      <w:r>
        <w:rPr>
          <w:b/>
          <w:rFonts w:ascii="Times New Roman" w:hAnsi="Times New Roman"/>
          <w:sz w:val="24"/>
        </w:rPr>
        <w:t xml:space="preserve">Estudo de caso</w:t>
      </w:r>
      <w:r>
        <w:rPr>
          <w:rFonts w:ascii="Times New Roman" w:hAnsi="Times New Roman"/>
          <w:sz w:val="24"/>
        </w:rPr>
        <w:t xml:space="preserve">: planejamento e métodos. 2. ed. Porto Alegre: Bookman, 2001.</w:t>
      </w:r>
    </w:p>
    <w:p>
      <w:pPr>
        <w:pageBreakBefore/>
        <w:spacing w:line="360" w:lineRule="auto" w:before="240" w:after="240"/>
        <w:ind w:firstLine="0"/>
        <w:jc w:val="center"/>
      </w:pPr>
      <w:r>
        <w:rPr>
          <w:rFonts w:ascii="Times New Roman" w:hAnsi="Times New Roman"/>
          <w:b/>
          <w:sz w:val="24"/>
        </w:rPr>
        <w:t xml:space="preserve">APÊNDICE D – QUESTIONÁRIO DE PERFIL E PERCEPÇÕES SOBRE A PNED</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 xml:space="preserve">Público: Profissionais da educação da Escola Municipal Domitila Castelo da Silva, em Pipa, Tibau do Sul (RN), que atuam nos anos iniciais do Ensino Fundamental (1º ao 5º ano): docentes regentes e de apoio à recomposição de aula, profissionais do apoio pedagógico, coordenação pedagógica e direção.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Apoio à recomposição de aula</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outro distrito ou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pPr>
        <w:pageBreakBefore/>
        <w:spacing w:line="360" w:lineRule="auto" w:before="240" w:after="240"/>
        <w:ind w:firstLine="0"/>
        <w:jc w:val="center"/>
      </w:pPr>
      <w:r>
        <w:rPr>
          <w:rFonts w:ascii="Times New Roman" w:hAnsi="Times New Roman"/>
          <w:b/>
          <w:sz w:val="24"/>
        </w:rPr>
        <w:t xml:space="preserve">APÊNDICE E – ROTEIRO DE ENTREVISTA SEMIESTRUTURADA EM PROFUNDIDADE</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 xml:space="preserve">1. Conte um pouco da sua trajetória na educação e de como chegou à Escola Municipal Domitila Castelo da Silva.</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Fonte complementar sobre o contexto externo. O técnico participa apenas da entrevista. As perguntas tratam de como as orientações nacionais são recebidas e encaminhadas pela gestão municipal antes de chegar à escola.</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Que orientações, documentos ou formações a Secretaria ofereceu às escolas sobre educação digital? Desde quando?</w:t>
      </w:r>
    </w:p>
    <w:p>
      <w:pPr>
        <w:spacing w:line="240" w:lineRule="auto" w:after="40"/>
        <w:jc w:val="left"/>
      </w:pPr>
      <w:r>
        <w:rPr>
          <w:rFonts w:ascii="Times New Roman" w:hAnsi="Times New Roman"/>
          <w:sz w:val="24"/>
        </w:rPr>
        <w:t>4. Como a Secretaria acompanha o trabalho das escolas nessa área? Que registros ou informações pede a elas?</w:t>
      </w:r>
    </w:p>
    <w:p>
      <w:pPr>
        <w:spacing w:line="240" w:lineRule="auto" w:after="40"/>
        <w:jc w:val="left"/>
      </w:pPr>
      <w:r>
        <w:rPr>
          <w:rFonts w:ascii="Times New Roman" w:hAnsi="Times New Roman"/>
          <w:sz w:val="24"/>
        </w:rPr>
        <w:t>5.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6.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 xml:space="preserve">Linguagem: as categorias analíticas (performatividade, fabricação, omissão seletiva, resistência)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 xml:space="preserve">Cuidado ético adicional: relatos sobre registros que não correspondem à prática serão tratados como expressão das condições de trabalho, sem serem tomados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headerReference w:type="default" r:id="rId9"/>
      <w:footerReference w:type="default" r:id="rId10"/>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