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8"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Com a RSL, as afirmações da literatura sobre educação digital podem ser avaliadas criticamente, e as lacunas de que a pesquisa de campo se ocupará ficam à vista.</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3, com base na ACP e na teoria da atuação.</w:t>
      </w:r>
      <w:r>
        <w:rPr>
          <w:rtl w:val="0"/>
        </w:rPr>
        <w:t xml:space="preserve">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p. 39) contesta essa ideia ao lembrar que “as crianças não sabem ‘naturalmente’ como usar computadores: como os adultos, muitas vezes elas experimentam confusão, tédio e frustração”. A exposição precoce a artefatos digitais, lida com o autor, depende de mediação formativa deliberada para se converter em leitura crítica, e estudar crianças conectadas é, por isso,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 w:type="dxa"/>
        <w:jc w:val="left"/>
        <w:tblInd w:w="1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
        <w:gridCol w:w="1324"/>
        <w:gridCol w:w="2272"/>
        <w:gridCol w:w="2341"/>
        <w:gridCol w:w="1681"/>
        <w:gridCol w:w="994"/>
        <w:tblGridChange w:id="0">
          <w:tblGrid>
            <w:gridCol w:w="458"/>
            <w:gridCol w:w="1324"/>
            <w:gridCol w:w="2272"/>
            <w:gridCol w:w="2341"/>
            <w:gridCol w:w="1681"/>
            <w:gridCol w:w="9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apoio direto na literatura recuperada e vem de referenciais externos ao corpus. Santos (1999, p. 19) afirma que “o território não é uma categoria de análise, a categoria de análise é o território usado”, e Massey (2008, p. 29) compreende o espaço “como a esfera na qual distintas trajetórias coexistem”, formulações que permitem ler também as desigualdades internas a um mesmo distrito.</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Aparecem pouco, e às vezes nem aparecem, os motivos que levam um profissional a interpretar uma diretriz de certo modo, as negociações que estabelece entre o que a norma pede e o que a escola comporta e o sentido que atribui a esse trabalho. Reconhecida a centralidade da interpretação profissional, as condições em que ela se produz recebem exame menos denso. Interpretar, aqui, significa decidir dentro de limites. Ball, Maguire e Braun (2016, p. 14) lembram que as políticas “raramente ditam ou determinam a prática, mas algumas mais do que outras estreitam a gama de respostas criativas”, e Ball (2011, p. 45-46) acrescenta que elas “criam circunstâncias nas quais o espectro de opções disponíveis sobre o que fazer é reduzido ou modificado”, de modo que “uma resposta ainda precisa ser construída no contexto”. Faltam ao corpus, sobretudo, duas dimensões. A primeira são as culturas profissionais, que Hargreaves (2005, p. 189, tradução nossa) define como “crenças, valores, hábitos e formas de fazer as coisas assumidas pelas comunidades de professores que têm de enfrentar exigências e limitações semelhantes ao longo de muitos anos”, e que filtram o que a política pede. A segunda são as pressões por resultados, que podem levar a escola a produzir registros e evidências de uma política que não encontrou condições para acontecer, situação que Ball (2004) descreve com a noção de performatividade e Ball (2002), com a de fabricação.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 esse desequilíbrio é um resultado da revisão, que contrasta com o peso dado pela política ao tema: a PNED, como vimos na Introdução, associa a cultura digital à participação consciente e democrática por meio das tecnologias e os direitos digitais à proteção dos dados de crianças e adolescentes (BRASIL, 2023, art. 3º, III e IV). Nos anos iniciais, e sobretudo no 1º e no 2º ano,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A revisão produziu resultados de dois tipos, os achados dos nove estudos do corpus final e o que se depreende do registro das exclusões e das ausências identificadas nesse conjunto. As respostas às perguntas da RSL vêm primeiro, cada uma com a indicação de até onde a afirmação vai, e as lacunas, depois.</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lê-las como modo regular de pôr a educação digital em prática seria um equívoco.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depende de restrições metodológicas que o PRISMA 2020 pede que sejam explicitadas no relato do processo de seleção, coleta, avaliação e síntese dos estudos (PAGE et al., 2022).</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 xml:space="preserve">A dimensão teórico-conceitual está na leitura conjunta dessas condições. Tratamos a implementação como processo relacional, reunindo o normativo, o institucional, o territorial e o formativo, costumeiramente examinados em separado pela literatura. Os referenciais que permitem essa leitura são externos ao corpus. A Abordagem do Ciclo de Políticas (BOWE; BALL; GOLD, 1992; MAINARDES, 2006) e a teoria da atuação (BALL; MAGUIRE; BRAUN, 2016) oferecem as ferramentas para ler a política no contexto da prática; a discussão de Hargreaves (2005) sobre culturas profissionais e a de Ball (2004, 2008) sobre performatividade permitem examinar o que filtra e o que pressiona a atuação; e as leituras de território de Santos (1999, 2006) e de Massey (2008) inscrevem Pipa na análise.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 xml:space="preserve">Os capítulos seguintes retomam essas lacunas. No Capítulo 3, apresentamos os fundamentos teóricos: a Abordagem do Ciclo de Políticas, a teoria da atuação, as culturas profissionais, a performatividade, a leitura foucaultiana do poder e a noção de habitar o digital, com as plataformas e os dados das crianças como contexto. No Capítulo 4, apresentamos o desenho metodológico da investigação de campo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pageBreakBefore/>
        <w:spacing w:after="0" w:before="0" w:line="240" w:lineRule="auto"/>
        <w:ind w:firstLine="0"/>
        <w:jc w:val="center"/>
        <w:rPr>
          <w:b w:val="1"/>
          <w:bCs w:val="1"/>
          <w:color w:val="000000"/>
          <w:sz w:val="24"/>
          <w:szCs w:val="24"/>
        </w:rPr>
      </w:pPr>
      <w:bookmarkStart w:colFirst="0" w:colLast="0" w:name="_heading=h.y00q0ww0tybu" w:id="19"/>
      <w:bookmarkEnd w:id="19"/>
      <w:r w:rsidDel="00000000" w:rsidR="00000000" w:rsidRPr="00000000">
        <w:rPr>
          <w:b/>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left"/>
        <w:rPr/>
      </w:pPr>
      <w:r w:rsidDel="00000000" w:rsidR="00000000" w:rsidRPr="00000000">
        <w:rPr>
          <w:rtl w:val="0"/>
        </w:rPr>
        <w:t xml:space="preserve">ALMEIDA, Maria Elizabeth Bianconcini de; VALENTE, José Armando. </w:t>
      </w:r>
      <w:r w:rsidDel="00000000" w:rsidR="00000000" w:rsidRPr="00000000">
        <w:rPr>
          <w:b/>
          <w:rtl w:val="0"/>
        </w:rPr>
        <w:t xml:space="preserve">Tecnologias e currículo</w:t>
      </w:r>
      <w:r w:rsidDel="00000000" w:rsidR="00000000" w:rsidRPr="00000000">
        <w:rPr>
          <w:rtl w:val="0"/>
        </w:rPr>
        <w:t xml:space="preserve">: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Reformar escolas/reformar professores e os terrores da performatividade. </w:t>
      </w:r>
      <w:r w:rsidDel="00000000" w:rsidR="00000000" w:rsidRPr="00000000">
        <w:rPr>
          <w:b/>
          <w:rtl w:val="0"/>
        </w:rPr>
        <w:t xml:space="preserve">Revista Portuguesa de Educação</w:t>
      </w:r>
      <w:r w:rsidDel="00000000" w:rsidR="00000000" w:rsidRPr="00000000">
        <w:rPr>
          <w:rtl w:val="0"/>
        </w:rPr>
        <w:t xml:space="preserve">, Braga, v. 15, n. 2, p. 3-23, 2002.</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Performatividade, privatização e o pós-Estado do bem-estar. </w:t>
      </w:r>
      <w:r w:rsidDel="00000000" w:rsidR="00000000" w:rsidRPr="00000000">
        <w:rPr>
          <w:b/>
          <w:rtl w:val="0"/>
        </w:rPr>
        <w:t xml:space="preserve">Educação &amp; Sociedade</w:t>
      </w:r>
      <w:r w:rsidDel="00000000" w:rsidR="00000000" w:rsidRPr="00000000">
        <w:rPr>
          <w:rtl w:val="0"/>
        </w:rPr>
        <w:t xml:space="preserv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w:t>
      </w:r>
      <w:r w:rsidDel="00000000" w:rsidR="00000000" w:rsidRPr="00000000">
        <w:rPr>
          <w:b/>
          <w:rtl w:val="0"/>
        </w:rPr>
        <w:t xml:space="preserve">The education debate</w:t>
      </w:r>
      <w:r w:rsidDel="00000000" w:rsidR="00000000" w:rsidRPr="00000000">
        <w:rPr>
          <w:rtl w:val="0"/>
        </w:rPr>
        <w:t xml:space="preserve">. Bristol: The Policy Press, 2008.</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Sociologia das políticas educacionais e pesquisa crítico-social: uma revisão pessoal das políticas educacionais e da pesquisa em política educacional. In: BALL, Stephen J.; MAINARDES, Jefferson (org.). </w:t>
      </w:r>
      <w:r w:rsidDel="00000000" w:rsidR="00000000" w:rsidRPr="00000000">
        <w:rPr>
          <w:b/>
          <w:rtl w:val="0"/>
        </w:rPr>
        <w:t xml:space="preserve">Políticas educacionais</w:t>
      </w:r>
      <w:r w:rsidDel="00000000" w:rsidR="00000000" w:rsidRPr="00000000">
        <w:rPr>
          <w:rtl w:val="0"/>
        </w:rPr>
        <w:t xml:space="preserve">: questões e dilemas. São Paulo: Cortez, 2011. p. 21-53.</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BOWE, Richard. Subject departments and the "implementation" of National Curriculum policy: an overview of the issues. </w:t>
      </w:r>
      <w:r w:rsidDel="00000000" w:rsidR="00000000" w:rsidRPr="00000000">
        <w:rPr>
          <w:b/>
          <w:rtl w:val="0"/>
        </w:rPr>
        <w:t xml:space="preserve">Journal of Curriculum Studies</w:t>
      </w:r>
      <w:r w:rsidDel="00000000" w:rsidR="00000000" w:rsidRPr="00000000">
        <w:rPr>
          <w:rtl w:val="0"/>
        </w:rPr>
        <w:t xml:space="preserve">,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left"/>
        <w:rPr/>
      </w:pPr>
      <w:r>
        <w:rPr>
          <w:rtl w:val="0"/>
        </w:rPr>
        <w:t xml:space="preserve">BALL, Stephen J.; MAGUIRE, Meg; BRAUN, Annette. </w:t>
      </w:r>
      <w:r>
        <w:rPr>
          <w:b/>
          <w:rtl w:val="0"/>
        </w:rPr>
        <w:t xml:space="preserve">Como as escolas fazem as políticas</w:t>
      </w:r>
      <w:r>
        <w:rPr>
          <w:rtl w:val="0"/>
        </w:rPr>
        <w:t xml:space="preserve">: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left"/>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sidDel="00000000" w:rsidR="00000000" w:rsidRPr="00000000">
        <w:rPr>
          <w:b/>
          <w:rtl w:val="0"/>
        </w:rPr>
        <w:t xml:space="preserve">Diário Oficial da União</w:t>
      </w:r>
      <w:r w:rsidDel="00000000" w:rsidR="00000000" w:rsidRPr="00000000">
        <w:rPr>
          <w:rtl w:val="0"/>
        </w:rPr>
        <w:t xml:space="preserve">,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left"/>
        <w:rPr/>
      </w:pPr>
      <w:r w:rsidDel="00000000" w:rsidR="00000000" w:rsidRPr="00000000">
        <w:rPr>
          <w:rtl w:val="0"/>
        </w:rPr>
        <w:t xml:space="preserve">BRASIL. Lei nº 9.394, de 20 de dezembro de 1996. Estabelece as diretrizes e bases da educação nacional. Brasília, DF: </w:t>
      </w:r>
      <w:r w:rsidDel="00000000" w:rsidR="00000000" w:rsidRPr="00000000">
        <w:rPr>
          <w:b/>
          <w:rtl w:val="0"/>
        </w:rPr>
        <w:t xml:space="preserve">Diário Oficial da União</w:t>
      </w:r>
      <w:r w:rsidDel="00000000" w:rsidR="00000000" w:rsidRPr="00000000">
        <w:rPr>
          <w:rtl w:val="0"/>
        </w:rPr>
        <w:t xml:space="preserve">,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left"/>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w:t>
      </w:r>
      <w:r w:rsidDel="00000000" w:rsidR="00000000" w:rsidRPr="00000000">
        <w:rPr>
          <w:b/>
          <w:rtl w:val="0"/>
        </w:rPr>
        <w:t xml:space="preserve">Diário Oficial da União</w:t>
      </w:r>
      <w:r w:rsidDel="00000000" w:rsidR="00000000" w:rsidRPr="00000000">
        <w:rPr>
          <w:rtl w:val="0"/>
        </w:rPr>
        <w:t xml:space="preserve">: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left"/>
        <w:rPr/>
      </w:pPr>
      <w:r>
        <w:rPr>
          <w:i w:val="1"/>
          <w:iCs w:val="1"/>
          <w:rtl w:val="0"/>
        </w:rPr>
        <w:t xml:space="preserve">BROWN, Jonathan; McLENNAN, Carrie; MERCIECA, Daniela; MERCIECA, Duncan P.; ROBERTSON, Derek; VALENTINE, Eddie. Technology as Thirdspace: teachers in Scottish schools engaging with and being challenged by digital technology in first COVID-19 lockdown. </w:t>
      </w:r>
      <w:r>
        <w:rPr>
          <w:b/>
          <w:i w:val="1"/>
          <w:iCs w:val="1"/>
          <w:rtl w:val="0"/>
        </w:rPr>
        <w:t xml:space="preserve">Education Sciences</w:t>
      </w:r>
      <w:r>
        <w:rPr>
          <w:i w:val="1"/>
          <w:iCs w:val="1"/>
          <w:rtl w:val="0"/>
        </w:rPr>
        <w:t xml:space="preserve">, v. 11, n. 3, art. 136, 2021. DOI: https://doi.org/10.3390/educsci11030136.</w:t>
      </w:r>
    </w:p>
    <w:p w:rsidR="00000000" w:rsidDel="00000000" w:rsidP="00000000" w:rsidRDefault="00000000" w:rsidRPr="00000000" w14:paraId="00000274">
      <w:pPr>
        <w:spacing w:line="276" w:lineRule="auto"/>
        <w:jc w:val="left"/>
        <w:rPr/>
      </w:pPr>
      <w:r w:rsidDel="00000000" w:rsidR="00000000" w:rsidRPr="00000000">
        <w:rPr>
          <w:rtl w:val="0"/>
        </w:rPr>
        <w:t xml:space="preserve"> </w:t>
      </w:r>
    </w:p>
    <w:p w:rsidR="00000000" w:rsidDel="00000000" w:rsidP="00000000" w:rsidRDefault="00000000" w:rsidRPr="00000000" w14:paraId="00000275">
      <w:pPr>
        <w:spacing w:line="276" w:lineRule="auto"/>
        <w:jc w:val="left"/>
        <w:rPr/>
      </w:pPr>
      <w:r w:rsidDel="00000000" w:rsidR="00000000" w:rsidRPr="00000000">
        <w:rPr>
          <w:rtl w:val="0"/>
        </w:rPr>
        <w:t xml:space="preserve">BUCKINGHAM, David. </w:t>
      </w:r>
      <w:r w:rsidDel="00000000" w:rsidR="00000000" w:rsidRPr="00000000">
        <w:rPr>
          <w:b/>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left"/>
        <w:rPr/>
      </w:pPr>
      <w:r w:rsidDel="00000000" w:rsidR="00000000" w:rsidRPr="00000000">
        <w:rPr>
          <w:rtl w:val="0"/>
        </w:rPr>
        <w:t xml:space="preserve"> </w:t>
      </w:r>
    </w:p>
    <w:p w:rsidR="00000000" w:rsidDel="00000000" w:rsidP="00000000" w:rsidRDefault="00000000" w:rsidRPr="00000000" w14:paraId="00000277">
      <w:pPr>
        <w:spacing w:line="276" w:lineRule="auto"/>
        <w:jc w:val="left"/>
        <w:rPr/>
      </w:pPr>
      <w:r w:rsidDel="00000000" w:rsidR="00000000" w:rsidRPr="00000000">
        <w:rPr>
          <w:rtl w:val="0"/>
        </w:rPr>
        <w:t xml:space="preserve">CETIC.br. </w:t>
      </w:r>
      <w:r w:rsidDel="00000000" w:rsidR="00000000" w:rsidRPr="00000000">
        <w:rPr>
          <w:b/>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left"/>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left"/>
        <w:rPr/>
      </w:pPr>
      <w:r>
        <w:rPr>
          <w:i w:val="1"/>
          <w:iCs w:val="1"/>
          <w:rtl w:val="0"/>
        </w:rPr>
        <w:t xml:space="preserve">GÓMEZ-NASHIKI, Antonio; QUIJADA-LOVATÓN, Karin. Good practices of basic education teachers during the COVID-19 pandemic. </w:t>
      </w:r>
      <w:r>
        <w:rPr>
          <w:b/>
          <w:i w:val="1"/>
          <w:iCs w:val="1"/>
          <w:rtl w:val="0"/>
        </w:rPr>
        <w:t xml:space="preserve">Revista Innova Educación</w:t>
      </w:r>
      <w:r>
        <w:rPr>
          <w:i w:val="1"/>
          <w:iCs w:val="1"/>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HARGREAVES, Andy. </w:t>
      </w:r>
      <w:r w:rsidDel="00000000" w:rsidR="00000000" w:rsidRPr="00000000">
        <w:rPr>
          <w:b/>
          <w:rtl w:val="0"/>
        </w:rPr>
        <w:t xml:space="preserve">Profesorado, cultura y postmodernidad</w:t>
      </w:r>
      <w:r w:rsidDel="00000000" w:rsidR="00000000" w:rsidRPr="00000000">
        <w:rPr>
          <w:rtl w:val="0"/>
        </w:rPr>
        <w:t xml:space="preserve">: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left"/>
        <w:rPr/>
      </w:pPr>
      <w:r w:rsidDel="00000000" w:rsidR="00000000" w:rsidRPr="00000000">
        <w:rPr>
          <w:rtl w:val="0"/>
        </w:rPr>
        <w:t xml:space="preserve"> </w:t>
      </w:r>
    </w:p>
    <w:p w:rsidR="00000000" w:rsidDel="00000000" w:rsidP="00000000" w:rsidRDefault="00000000" w:rsidRPr="00000000" w14:paraId="0000027C">
      <w:pPr>
        <w:spacing w:line="276" w:lineRule="auto"/>
        <w:jc w:val="left"/>
        <w:rPr/>
      </w:pPr>
      <w:r>
        <w:rPr>
          <w:i w:val="1"/>
          <w:iCs w:val="1"/>
          <w:rtl w:val="0"/>
        </w:rPr>
        <w:t xml:space="preserve">IVANISHCHENKO, Kateryna; BUSANA, Gilbert; REUTER, Robert A. P. Understanding factors affecting fundamental school teachers’ use of technology in Luxembourg through a survey study. </w:t>
      </w:r>
      <w:r>
        <w:rPr>
          <w:b/>
          <w:i w:val="1"/>
          <w:iCs w:val="1"/>
          <w:rtl w:val="0"/>
        </w:rPr>
        <w:t xml:space="preserve">Heliyon</w:t>
      </w:r>
      <w:r>
        <w:rPr>
          <w:i w:val="1"/>
          <w:iCs w:val="1"/>
          <w:rtl w:val="0"/>
        </w:rPr>
        <w:t xml:space="preserve">, v. 10, n. 7, e28704, 2024. DOI: https://doi.org/10.1016/j.heliyon.2024.e28704.</w:t>
      </w:r>
    </w:p>
    <w:p w:rsidR="00000000" w:rsidDel="00000000" w:rsidP="00000000" w:rsidRDefault="00000000" w:rsidRPr="00000000" w14:paraId="0000027D">
      <w:pPr>
        <w:spacing w:line="276" w:lineRule="auto"/>
        <w:jc w:val="left"/>
        <w:rPr/>
      </w:pPr>
      <w:r w:rsidDel="00000000" w:rsidR="00000000" w:rsidRPr="00000000">
        <w:rPr>
          <w:rtl w:val="0"/>
        </w:rPr>
        <w:t xml:space="preserve"> </w:t>
      </w:r>
    </w:p>
    <w:p w:rsidR="00000000" w:rsidDel="00000000" w:rsidP="00000000" w:rsidRDefault="00000000" w:rsidRPr="00000000" w14:paraId="0000027E">
      <w:pPr>
        <w:spacing w:line="276" w:lineRule="auto"/>
        <w:jc w:val="left"/>
        <w:rPr/>
      </w:pPr>
      <w:r>
        <w:rPr>
          <w:i w:val="1"/>
          <w:iCs w:val="1"/>
          <w:rtl w:val="0"/>
        </w:rPr>
        <w:t xml:space="preserve">KARAFERYE, Figen. Digital teaching and learning: exploring primary school teachers’ approaches, sources of concern &amp; expectations. </w:t>
      </w:r>
      <w:r>
        <w:rPr>
          <w:b/>
          <w:i w:val="1"/>
          <w:iCs w:val="1"/>
          <w:rtl w:val="0"/>
        </w:rPr>
        <w:t xml:space="preserve">Journal of Educational Technology and Online Learning</w:t>
      </w:r>
      <w:r>
        <w:rPr>
          <w:i w:val="1"/>
          <w:iCs w:val="1"/>
          <w:rtl w:val="0"/>
        </w:rPr>
        <w:t xml:space="preserve">, v. 5, n. 4, p. 808-824, 2022. DOI: https://doi.org/10.31681/jetol.1156717.</w:t>
      </w:r>
    </w:p>
    <w:p w:rsidR="00000000" w:rsidDel="00000000" w:rsidP="00000000" w:rsidRDefault="00000000" w:rsidRPr="00000000" w14:paraId="0000027F">
      <w:pPr>
        <w:spacing w:line="276" w:lineRule="auto"/>
        <w:jc w:val="left"/>
        <w:rPr/>
      </w:pPr>
      <w:r w:rsidDel="00000000" w:rsidR="00000000" w:rsidRPr="00000000">
        <w:rPr>
          <w:rtl w:val="0"/>
        </w:rPr>
        <w:t xml:space="preserve"> </w:t>
      </w:r>
    </w:p>
    <w:p w:rsidR="00000000" w:rsidDel="00000000" w:rsidP="00000000" w:rsidRDefault="00000000" w:rsidRPr="00000000" w14:paraId="00000280">
      <w:pPr>
        <w:spacing w:line="276" w:lineRule="auto"/>
        <w:jc w:val="left"/>
        <w:rPr/>
      </w:pPr>
      <w:r w:rsidDel="00000000" w:rsidR="00000000" w:rsidRPr="00000000">
        <w:rPr>
          <w:rtl w:val="0"/>
        </w:rPr>
        <w:t xml:space="preserve">KITCHENHAM, Barbara; CHARTERS, Stuart. </w:t>
      </w:r>
      <w:r w:rsidDel="00000000" w:rsidR="00000000" w:rsidRPr="00000000">
        <w:rPr>
          <w:b/>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6">
      <w:pPr>
        <w:spacing w:line="276" w:lineRule="auto"/>
        <w:jc w:val="left"/>
        <w:rPr/>
      </w:pPr>
      <w:r>
        <w:rPr>
          <w:i w:val="1"/>
          <w:iCs w:val="1"/>
          <w:rtl w:val="0"/>
        </w:rPr>
        <w:t xml:space="preserve">NUNES, Maria das Graças da Silva. </w:t>
      </w:r>
      <w:r>
        <w:rPr>
          <w:b/>
          <w:i w:val="1"/>
          <w:iCs w:val="1"/>
          <w:rtl w:val="0"/>
        </w:rPr>
        <w:t xml:space="preserve">Tecnologias digitais no ciclo de alfabetização</w:t>
      </w:r>
      <w:r>
        <w:rPr>
          <w:i w:val="1"/>
          <w:iCs w:val="1"/>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left"/>
        <w:rPr/>
      </w:pPr>
      <w:r w:rsidDel="00000000" w:rsidR="00000000" w:rsidRPr="00000000">
        <w:rPr>
          <w:rtl w:val="0"/>
        </w:rPr>
        <w:t xml:space="preserve"> </w:t>
      </w:r>
    </w:p>
    <w:p w:rsidR="00000000" w:rsidDel="00000000" w:rsidP="00000000" w:rsidRDefault="00000000" w:rsidRPr="00000000" w14:paraId="00000288">
      <w:pPr>
        <w:spacing w:line="276" w:lineRule="auto"/>
        <w:jc w:val="left"/>
        <w:rPr/>
      </w:pPr>
      <w:r w:rsidDel="00000000" w:rsidR="00000000" w:rsidRPr="00000000">
        <w:rPr>
          <w:rtl w:val="0"/>
        </w:rPr>
        <w:t xml:space="preserve">OCDE. </w:t>
      </w:r>
      <w:r w:rsidDel="00000000" w:rsidR="00000000" w:rsidRPr="00000000">
        <w:rPr>
          <w:b/>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left"/>
        <w:rPr/>
      </w:pPr>
      <w:r w:rsidDel="00000000" w:rsidR="00000000" w:rsidRPr="00000000">
        <w:rPr>
          <w:rtl w:val="0"/>
        </w:rPr>
        <w:t xml:space="preserve"> </w:t>
      </w:r>
    </w:p>
    <w:p w:rsidR="00000000" w:rsidDel="00000000" w:rsidP="00000000" w:rsidRDefault="00000000" w:rsidRPr="00000000" w14:paraId="0000028A">
      <w:pPr>
        <w:spacing w:line="276" w:lineRule="auto"/>
        <w:jc w:val="left"/>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left"/>
        <w:rPr/>
      </w:pPr>
      <w:r w:rsidDel="00000000" w:rsidR="00000000" w:rsidRPr="00000000">
        <w:rPr>
          <w:rtl w:val="0"/>
        </w:rPr>
        <w:t xml:space="preserve"> </w:t>
      </w:r>
    </w:p>
    <w:p w:rsidR="00000000" w:rsidDel="00000000" w:rsidP="00000000" w:rsidRDefault="00000000" w:rsidRPr="00000000" w14:paraId="0000028C">
      <w:pPr>
        <w:spacing w:line="276" w:lineRule="auto"/>
        <w:jc w:val="left"/>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left"/>
        <w:rPr/>
      </w:pPr>
      <w:r w:rsidDel="00000000" w:rsidR="00000000" w:rsidRPr="00000000">
        <w:rPr>
          <w:rtl w:val="0"/>
        </w:rPr>
        <w:t xml:space="preserve"> </w:t>
      </w:r>
    </w:p>
    <w:p w:rsidR="00000000" w:rsidDel="00000000" w:rsidP="00000000" w:rsidRDefault="00000000" w:rsidRPr="00000000" w14:paraId="0000028E">
      <w:pPr>
        <w:spacing w:line="276" w:lineRule="auto"/>
        <w:jc w:val="left"/>
        <w:rPr/>
      </w:pPr>
      <w:r w:rsidDel="00000000" w:rsidR="00000000" w:rsidRPr="00000000">
        <w:rPr>
          <w:rtl w:val="0"/>
        </w:rPr>
        <w:t xml:space="preserve">PAGE, Matthew J. et al. A declaração PRISMA 2020: diretriz atualizada para relatar revisões sistemáticas. </w:t>
      </w:r>
      <w:r w:rsidDel="00000000" w:rsidR="00000000" w:rsidRPr="00000000">
        <w:rPr>
          <w:b/>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left"/>
        <w:rPr/>
      </w:pPr>
      <w:r w:rsidDel="00000000" w:rsidR="00000000" w:rsidRPr="00000000">
        <w:rPr>
          <w:rtl w:val="0"/>
        </w:rPr>
        <w:t xml:space="preserve"> </w:t>
      </w:r>
    </w:p>
    <w:p w:rsidR="00000000" w:rsidDel="00000000" w:rsidP="00000000" w:rsidRDefault="00000000" w:rsidRPr="00000000" w14:paraId="00000290">
      <w:pPr>
        <w:spacing w:line="276" w:lineRule="auto"/>
        <w:jc w:val="left"/>
        <w:rPr/>
      </w:pPr>
      <w:r>
        <w:rPr>
          <w:i w:val="1"/>
          <w:iCs w:val="1"/>
          <w:rtl w:val="0"/>
        </w:rPr>
        <w:t xml:space="preserve">PAÑOS-CASTRO, Jessica; ARRUTI, Arantza; KORRES, Oihane. COVID and ICT in primary education: challenges faced by teachers in the Basque Country. </w:t>
      </w:r>
      <w:r>
        <w:rPr>
          <w:b/>
          <w:i w:val="1"/>
          <w:iCs w:val="1"/>
          <w:rtl w:val="0"/>
        </w:rPr>
        <w:t xml:space="preserve">Sustainability</w:t>
      </w:r>
      <w:r>
        <w:rPr>
          <w:i w:val="1"/>
          <w:iCs w:val="1"/>
          <w:rtl w:val="0"/>
        </w:rPr>
        <w:t xml:space="preserve">, v. 14, n. 16, art. 10452, 2022. DOI: https://doi.org/10.3390/su141610452.</w:t>
      </w:r>
    </w:p>
    <w:p w:rsidR="00000000" w:rsidDel="00000000" w:rsidP="00000000" w:rsidRDefault="00000000" w:rsidRPr="00000000" w14:paraId="00000291">
      <w:pPr>
        <w:spacing w:line="276" w:lineRule="auto"/>
        <w:jc w:val="left"/>
        <w:rPr/>
      </w:pPr>
      <w:r w:rsidDel="00000000" w:rsidR="00000000" w:rsidRPr="00000000">
        <w:rPr>
          <w:rtl w:val="0"/>
        </w:rPr>
        <w:t xml:space="preserve"> </w:t>
      </w:r>
    </w:p>
    <w:p w:rsidR="00000000" w:rsidDel="00000000" w:rsidP="00000000" w:rsidRDefault="00000000" w:rsidRPr="00000000" w14:paraId="00000292">
      <w:pPr>
        <w:spacing w:line="276" w:lineRule="auto"/>
        <w:jc w:val="left"/>
        <w:rPr/>
      </w:pPr>
      <w:r>
        <w:rPr>
          <w:i w:val="1"/>
          <w:iCs w:val="1"/>
          <w:rtl w:val="0"/>
        </w:rPr>
        <w:t xml:space="preserve">PEREIRA, Max Augusto Franco. </w:t>
      </w:r>
      <w:r>
        <w:rPr>
          <w:b/>
          <w:i w:val="1"/>
          <w:iCs w:val="1"/>
          <w:rtl w:val="0"/>
        </w:rPr>
        <w:t xml:space="preserve">As políticas educacionais para inserção de tecnologias digitais no ensino fundamental em Aracaju</w:t>
      </w:r>
      <w:r>
        <w:rPr>
          <w:i w:val="1"/>
          <w:iCs w:val="1"/>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left"/>
        <w:rPr/>
      </w:pPr>
      <w:r w:rsidDel="00000000" w:rsidR="00000000" w:rsidRPr="00000000">
        <w:rPr>
          <w:rtl w:val="0"/>
        </w:rPr>
        <w:t xml:space="preserve"> </w:t>
      </w:r>
    </w:p>
    <w:p w:rsidR="00000000" w:rsidDel="00000000" w:rsidP="00000000" w:rsidRDefault="00000000" w:rsidRPr="00000000" w14:paraId="00000294">
      <w:pPr>
        <w:spacing w:line="276" w:lineRule="auto"/>
        <w:jc w:val="left"/>
        <w:rPr/>
      </w:pPr>
      <w:r w:rsidDel="00000000" w:rsidR="00000000" w:rsidRPr="00000000">
        <w:rPr>
          <w:rtl w:val="0"/>
        </w:rPr>
        <w:t xml:space="preserve">PRENSKY, Marc. Digital natives, digital immigrants. </w:t>
      </w:r>
      <w:r w:rsidDel="00000000" w:rsidR="00000000" w:rsidRPr="00000000">
        <w:rPr>
          <w:b/>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left"/>
        <w:rPr/>
      </w:pPr>
      <w:r w:rsidDel="00000000" w:rsidR="00000000" w:rsidRPr="00000000">
        <w:rPr>
          <w:rtl w:val="0"/>
        </w:rPr>
        <w:t xml:space="preserve"> </w:t>
      </w:r>
    </w:p>
    <w:p w:rsidR="00000000" w:rsidDel="00000000" w:rsidP="00000000" w:rsidRDefault="00000000" w:rsidRPr="00000000" w14:paraId="00000296">
      <w:pPr>
        <w:spacing w:line="276" w:lineRule="auto"/>
        <w:jc w:val="left"/>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rtl w:val="0"/>
        </w:rPr>
        <w:t xml:space="preserve">Current Issues in Comparative Education</w:t>
      </w:r>
      <w:r w:rsidDel="00000000" w:rsidR="00000000" w:rsidRPr="00000000">
        <w:rPr>
          <w:rtl w:val="0"/>
        </w:rPr>
        <w:t xml:space="preserve">, Nova York, v. 24, n. 2, p. 204-216, 2022. DOI: https://doi.org/10.52214/cice.v24i2.9497.</w:t>
      </w:r>
    </w:p>
    <w:p w:rsidR="00000000" w:rsidDel="00000000" w:rsidP="00000000" w:rsidRDefault="00000000" w:rsidRPr="00000000" w14:paraId="00000297">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ROJO, Roxane. Gêneros discursivos do Círculo de Bakhtin e multiletramentos. In: ROJO, Roxane (org.). </w:t>
      </w:r>
      <w:r w:rsidDel="00000000" w:rsidR="00000000" w:rsidRPr="00000000">
        <w:rPr>
          <w:b/>
          <w:rtl w:val="0"/>
        </w:rPr>
        <w:t xml:space="preserve">Escol@ conectada</w:t>
      </w:r>
      <w:r w:rsidDel="00000000" w:rsidR="00000000" w:rsidRPr="00000000">
        <w:rPr>
          <w:rtl w:val="0"/>
        </w:rPr>
        <w:t xml:space="preserve">: os multiletramentos e as TICs. São Paulo: Parábola, 2013. p. 13-36.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A">
      <w:pPr>
        <w:spacing w:line="276" w:lineRule="auto"/>
        <w:jc w:val="left"/>
        <w:rPr/>
      </w:pPr>
      <w:r w:rsidDel="00000000" w:rsidR="00000000" w:rsidRPr="00000000">
        <w:rPr>
          <w:rtl w:val="0"/>
        </w:rPr>
        <w:t xml:space="preserve">SOJA, Edward W. </w:t>
      </w:r>
      <w:r w:rsidDel="00000000" w:rsidR="00000000" w:rsidRPr="00000000">
        <w:rPr>
          <w:b/>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left"/>
        <w:rPr/>
      </w:pPr>
      <w:r w:rsidDel="00000000" w:rsidR="00000000" w:rsidRPr="00000000">
        <w:rPr>
          <w:rtl w:val="0"/>
        </w:rPr>
        <w:t xml:space="preserve"> </w:t>
      </w:r>
    </w:p>
    <w:p w:rsidR="00000000" w:rsidDel="00000000" w:rsidP="00000000" w:rsidRDefault="00000000" w:rsidRPr="00000000" w14:paraId="0000029C">
      <w:pPr>
        <w:spacing w:line="276" w:lineRule="auto"/>
        <w:jc w:val="left"/>
        <w:rPr/>
      </w:pPr>
      <w:r w:rsidDel="00000000" w:rsidR="00000000" w:rsidRPr="00000000">
        <w:rPr>
          <w:rtl w:val="0"/>
        </w:rPr>
        <w:t xml:space="preserve">THOMAS, James; HARDEN, Angela. Methods for the thematic synthesis of qualitative research in systematic reviews. </w:t>
      </w:r>
      <w:r w:rsidDel="00000000" w:rsidR="00000000" w:rsidRPr="00000000">
        <w:rPr>
          <w:b/>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left"/>
        <w:rPr/>
      </w:pPr>
      <w:r w:rsidDel="00000000" w:rsidR="00000000" w:rsidRPr="00000000">
        <w:rPr>
          <w:rtl w:val="0"/>
        </w:rPr>
        <w:t xml:space="preserve"> </w:t>
      </w:r>
    </w:p>
    <w:p w:rsidR="00000000" w:rsidDel="00000000" w:rsidP="00000000" w:rsidRDefault="00000000" w:rsidRPr="00000000" w14:paraId="0000029E">
      <w:pPr>
        <w:spacing w:line="276" w:lineRule="auto"/>
        <w:jc w:val="left"/>
        <w:rPr/>
      </w:pPr>
      <w:r>
        <w:rPr>
          <w:i w:val="1"/>
          <w:iCs w:val="1"/>
          <w:rtl w:val="0"/>
        </w:rPr>
        <w:t xml:space="preserve">TUSSI, Graziela Bergonsi. </w:t>
      </w:r>
      <w:r>
        <w:rPr>
          <w:b/>
          <w:i w:val="1"/>
          <w:iCs w:val="1"/>
          <w:rtl w:val="0"/>
        </w:rPr>
        <w:t xml:space="preserve">Caminhos metodológicos para a construção de uma política pública de computação no município de Passo Fundo – RS</w:t>
      </w:r>
      <w:r>
        <w:rPr>
          <w:i w:val="1"/>
          <w:iCs w:val="1"/>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left"/>
        <w:rPr/>
      </w:pPr>
      <w:r w:rsidDel="00000000" w:rsidR="00000000" w:rsidRPr="00000000">
        <w:rPr>
          <w:rtl w:val="0"/>
        </w:rPr>
        <w:t xml:space="preserve"> </w:t>
      </w:r>
    </w:p>
    <w:p w:rsidR="00000000" w:rsidDel="00000000" w:rsidP="00000000" w:rsidRDefault="00000000" w:rsidRPr="00000000" w14:paraId="000002A0">
      <w:pPr>
        <w:spacing w:line="276" w:lineRule="auto"/>
        <w:jc w:val="left"/>
        <w:rPr/>
      </w:pPr>
      <w:r w:rsidDel="00000000" w:rsidR="00000000" w:rsidRPr="00000000">
        <w:rPr>
          <w:rtl w:val="0"/>
        </w:rPr>
        <w:t xml:space="preserve">UNESCO. </w:t>
      </w:r>
      <w:r w:rsidDel="00000000" w:rsidR="00000000" w:rsidRPr="00000000">
        <w:rPr>
          <w:b/>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left"/>
        <w:rPr/>
      </w:pPr>
      <w:r w:rsidDel="00000000" w:rsidR="00000000" w:rsidRPr="00000000">
        <w:rPr>
          <w:rtl w:val="0"/>
        </w:rPr>
        <w:t xml:space="preserve"> </w:t>
      </w:r>
    </w:p>
    <w:p w:rsidR="00000000" w:rsidDel="00000000" w:rsidP="00000000" w:rsidRDefault="00000000" w:rsidRPr="00000000" w14:paraId="000002A2">
      <w:pPr>
        <w:spacing w:line="276" w:lineRule="auto"/>
        <w:jc w:val="left"/>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left"/>
        <w:rPr/>
      </w:pPr>
      <w:r w:rsidDel="00000000" w:rsidR="00000000" w:rsidRPr="00000000">
        <w:rPr>
          <w:rtl w:val="0"/>
        </w:rPr>
        <w:t xml:space="preserve"> </w:t>
      </w:r>
    </w:p>
    <w:p w:rsidR="00000000" w:rsidDel="00000000" w:rsidP="00000000" w:rsidRDefault="00000000" w:rsidRPr="00000000" w14:paraId="000002A4">
      <w:pPr>
        <w:spacing w:line="276" w:lineRule="auto"/>
        <w:jc w:val="left"/>
        <w:rPr/>
      </w:pPr>
      <w:r>
        <w:rPr>
          <w:i w:val="1"/>
          <w:iCs w:val="1"/>
          <w:rtl w:val="0"/>
        </w:rPr>
        <w:t xml:space="preserve">WILLIAMS, Kate Maloney. Exploring new literacies: a case study on technology and teacher development in Cuban primary schools. </w:t>
      </w:r>
      <w:r>
        <w:rPr>
          <w:b/>
          <w:i w:val="1"/>
          <w:iCs w:val="1"/>
          <w:rtl w:val="0"/>
        </w:rPr>
        <w:t xml:space="preserve">Journal of Media Literacy Education</w:t>
      </w:r>
      <w:r>
        <w:rPr>
          <w:i w:val="1"/>
          <w:iCs w:val="1"/>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pageBreakBefore/>
        <w:spacing w:after="0" w:before="0" w:lineRule="auto"/>
        <w:ind w:firstLine="0"/>
        <w:jc w:val="center"/>
        <w:rPr>
          <w:b w:val="1"/>
          <w:bCs w:val="1"/>
          <w:color w:val="000000"/>
          <w:sz w:val="24"/>
          <w:szCs w:val="24"/>
        </w:rPr>
      </w:pPr>
      <w:bookmarkStart w:colFirst="0" w:colLast="0" w:name="_heading=h.ntvxp83bnvn7" w:id="21"/>
      <w:bookmarkEnd w:id="21"/>
      <w:r w:rsidDel="00000000" w:rsidR="00000000" w:rsidRPr="00000000">
        <w:rPr>
          <w:b/>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pageBreakBefore/>
        <w:spacing w:after="0" w:before="0" w:lineRule="auto"/>
        <w:ind w:firstLine="0"/>
        <w:jc w:val="center"/>
        <w:rPr>
          <w:b w:val="1"/>
          <w:bCs w:val="1"/>
          <w:color w:val="000000"/>
          <w:sz w:val="24"/>
          <w:szCs w:val="24"/>
        </w:rPr>
      </w:pPr>
      <w:bookmarkStart w:colFirst="0" w:colLast="0" w:name="_heading=h.d3ae6lbdtx3l" w:id="22"/>
      <w:bookmarkEnd w:id="22"/>
      <w:r w:rsidDel="00000000" w:rsidR="00000000" w:rsidRPr="00000000">
        <w:rPr>
          <w:b/>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pageBreakBefore/>
        <w:spacing w:after="0" w:before="0" w:lineRule="auto"/>
        <w:ind w:firstLine="0"/>
        <w:jc w:val="center"/>
        <w:rPr>
          <w:b w:val="1"/>
          <w:bCs w:val="1"/>
          <w:color w:val="000000"/>
          <w:sz w:val="24"/>
          <w:szCs w:val="24"/>
        </w:rPr>
      </w:pPr>
      <w:bookmarkStart w:colFirst="0" w:colLast="0" w:name="_heading=h.cu50sdyufnau" w:id="23"/>
      <w:bookmarkEnd w:id="23"/>
      <w:r w:rsidDel="00000000" w:rsidR="00000000" w:rsidRPr="00000000">
        <w:rPr>
          <w:b/>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headerReference w:type="default" r:id="rId8"/>
      <w:footerReference w:type="default" r:id="rId9"/>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