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O território de Pipa é tomado aqui como dimensão do contexto da prática da Educação Digital, mais do que como lugar de realização da pesquisa. Ao analisarmos o distrito,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e material do contexto e oferecemos a base para o objetivo específico (b)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nos circuitos turísticos e comerciais do distrito e ausente das salas das crianças registradas na pesquisa. Crianças de seis a dez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As fontes são as apresentadas no percurso metodológico. A trajetória socioterritorial de Pipa foi reconstruída com base no acervo do Museu Digital de Pipa e na dissertação de Aires (2012), que reuniu, por meio de história oral, relatos de moradores sobre as transformações do distrito;</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os registros da rede municipal serão examinados na análise documental, </w:t>
      </w:r>
      <w:r>
        <w:rPr>
          <w:rtl w:val="0"/>
        </w:rPr>
        <w:t xml:space="preserve">ainda não</w:t>
      </w:r>
      <w:r>
        <w:rPr>
          <w:rtl w:val="0"/>
        </w:rPr>
        <w:t xml:space="preserve"> realizada. O corpus iconográfico reunido no Apêndice F inclui registros históricos, fotografias produzidas durante a pesquisa e materiais de divulgação turística de circulação pública. </w:t>
      </w:r>
      <w:r>
        <w:rPr>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F.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 xml:space="preserve">A categoria território se constrói a partir da trajetória de Pipa, em diálogo com Milton Santos (2006), Manuel Castells (2013), Doreen Massey (2008) e Zygmunt Bauman (1999) e com os relatos reunidos por Aires (2012), na seção 6.1. A escola entra como espaço institucional situado e como contexto da prática, na articulação entre a ACP (MAINARDES, 2006; BOWE; BALL; GOLD, 1992) e a teoria da atuação (BALL; MAGUIRE; BRAUN, 2016), na seção 6.2, e suas condições materiais e institucionais são examinadas na seção 6.3. A seção 6.4 sistematiza o território como categoria analítica e apresenta o percurso teórico da noção de habitar o digital, em diálogo com Schlemmer, Backes e Palagi (2021) e Di Felice (2009), de onde parte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desloca a categoria de análise do território em si para o território usado (SANTOS, 1999, p. 19), ideia que, segundo o autor, “pode ser mais adequada à noção de um território em mudança, de um território em processo” (SANTOS, 1999, p. 20);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Aires (2012) reconstitui essa passagem com base em relatos de moradores. Na década de 1970, Pipa era uma comunidade agrícola e pesqueira, sem energia elétrica e água encanada e com precárias vias de acesso, já frequentada por veranistas de famílias da região; os primeiros surfistas chegaram a partir de 1975, e a divulgação mais intensa do lugar começou no início da década de 1990 (AIRES, 2012, p. 80-82). Casas e terrenos de nativos foram vendidos, trocados ou alugados a veranistas, surfistas e estrangeiros (AIRES, 2012, p. 79-80, 84), e alguns dos relatos reunidos pela autora são de trabalhadoras vindas de localidades vizinhas para os serviços ligados ao turismo (AIRES, 2012, p. 16, 87).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 xml:space="preserve">partilhavam as mesmas vias de areia. A Figura 5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O funcionamento do curral vem das fontes históricas, e a imagem sozinha não o informa. Aires (2012, p. 75-76) registra que a pesca de curral, “já mais rara” que a pesca em alto mar, usava uma armadilha “confeccionada com varas finas, mourão e cordão”, cujas aberturas “permitiam a entrada de peixes durante a maré cheia, dificultando sua saída”, e que o produto da despesca era dividido pelo sistema de meia entre o dono do curral e os pescadores.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 xml:space="preserve">O registro atual da Figura 21,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Além do conteúdo histórico, a imagem do mutirão guarda 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Memórias de moradoras transcritas por Aires (2012, p. 42, 73) associam o Cruzeiro, situado no Porto, à vida religiosa da vila, com terços, missas e as flores da festa de São Sebastião, e não mencionam uma função de referência para a navegação. Se essa função estiver documentada no acervo,</w:t>
      </w:r>
      <w:r>
        <w:rPr>
          <w:rtl w:val="0"/>
        </w:rPr>
        <w:t xml:space="preserve"/>
      </w:r>
      <w:r>
        <w:rPr>
          <w:rtl w:val="0"/>
        </w:rPr>
        <w:t xml:space="preserve">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A cena mostra novos usos incorporados a espaços já constituídos, sem oposição entre tradição e turismo,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apropriado também por jovens da própria localidade. Aires (2012, p. 81, 83-84) registra acordos em que surfistas, em troca de abrigo e comida, ensinavam nativos a surfar, amizades mantidas por mais de quinze anos e moradores que passaram a ter orgulho de ser surfistas.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8"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8"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8"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Aires (2012, p. 79-80, 84) reuniu relatos do mesmo tipo, segundo os quais casas e terrenos foram vendidos, trocados ou alugados a veranistas e surfistas, às vezes por eletrodomésticos ou pranchas, e registra as várias versões possíveis dessas aquisições: “Compra, troca de favores e/ou de bens, posse ilegal ou abuso” (AIRES, 2012, p. 80). Como se trata de memórias, sem documentação das transações, os relatos não são tratados como evidência de um processo geral de expropriação.</w:t>
      </w:r>
      <w:r>
        <w:rPr>
          <w:rtl w:val="0"/>
        </w:rPr>
        <w:t xml:space="preserve"/>
      </w:r>
      <w:r>
        <w:rPr>
          <w:rtl w:val="0"/>
        </w:rPr>
        <w:t xml:space="preserve"/>
      </w:r>
      <w:r>
        <w:rPr>
          <w:rtl w:val="0"/>
        </w:rPr>
        <w:t xml:space="preserve">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(AIRES, 2012, p. 62, 84). A autora conclui que, diante do turismo, “a população nativa não é passiva” e cria “mecanismos de reformulações materiais e simbólicas” (AIRES, 2012, p. 10).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Mais do que contrapor uma Pipa “conectada” a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compõem o contexto no qual os profissionais da educação interpretarão, traduzirão e recontextualizarão suas proposições, sem determinar de antemão a encenação da política.</w:t>
      </w:r>
      <w:r>
        <w:rPr>
          <w:rtl w:val="0"/>
        </w:rPr>
        <w:t xml:space="preserve"/>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 xml:space="preserve">Figuras 7 e 9,</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3, 7 e 9, a imagem indica, além da permanência de uma paisagem, a continuidade de uma prática.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encontra, na escola,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22</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8"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5"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5"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Ainda assim, o registro é eloquente: no enquadramento, a climatização está nas salas da equipe e falta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 xml:space="preserve">33),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 xml:space="preserve">34 apresenta outra configuração</w:t>
      </w:r>
      <w:r>
        <w:rPr>
          <w:rtl w:val="0"/>
        </w:rPr>
        <w:t xml:space="preserve">, com as carteiras dispostas em </w:t>
      </w:r>
      <w:r>
        <w:rPr>
          <w:rtl w:val="0"/>
        </w:rPr>
        <w:t xml:space="preserve">semicírculo junto às paredes, diferente da</w:t>
      </w:r>
      <w:r>
        <w:rPr>
          <w:rtl w:val="0"/>
        </w:rPr>
        <w:t xml:space="preserve"> observada nas Figuras 32 e 33</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8"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da Silva. O território é tratado, a partir daqui,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 w:tblpY="0"/>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Dessa articulação entre contexto e experiência derivam três planos de análise: a escola como parte de uma rede territorial, o habitar o digital como experiência desigual e a atuação profissional como dimensão da mediação da política.</w:t>
      </w:r>
      <w:r>
        <w:rPr>
          <w:rtl w:val="0"/>
        </w:rPr>
        <w:t xml:space="preserve"/>
      </w:r>
      <w:r>
        <w:rPr>
          <w:rtl w:val="0"/>
        </w:rPr>
        <w:t xml:space="preserve"/>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 xml:space="preserve">A expressão resulta de um percurso teórico. Em </w:t>
      </w:r>
      <w:r>
        <w:rPr>
          <w:i/>
          <w:rtl w:val="0"/>
        </w:rPr>
        <w:t xml:space="preserve">O habitar do ensinar e do aprender OnLIFE</w:t>
      </w:r>
      <w:r>
        <w:rPr>
          <w:rtl w:val="0"/>
        </w:rPr>
        <w:t xml:space="preserve">, obra organizada por Schlemmer et al. (2021), o capítulo de abertura lembra que o habitar, “além de estar acompanhado do movimento, tem uma natureza relacional” (SCHLEMMER; BACKES; PALAGI, 2021, p. 15), e recorre a Di Felice para compreendê-lo “enquanto prática comunicativa” (SCHLEMMER; BACKES; PALAGI, 2021, p. 17). Di Felice (2009), em </w:t>
      </w:r>
      <w:r>
        <w:rPr>
          <w:i/>
          <w:rtl w:val="0"/>
        </w:rPr>
        <w:t xml:space="preserve">Paisagens pós-urbanas</w:t>
      </w:r>
      <w:r>
        <w:rPr>
          <w:rtl w:val="0"/>
        </w:rPr>
        <w:t xml:space="preserve">, retoma a tradição filosófica do habitar e mostra como as tecnologias de comunicação transformam a relação entre sujeito, meios e território, descrevendo, com as redes digitais, um habitar atópico, realizado por meio de interações com interfaces (DI FELICE, 2009, p. 20).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o mesmo distrito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8"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8"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A posição que os profissionais da educação ocupam no processo de encenação da política completa a leitura.</w:t>
      </w:r>
      <w:r>
        <w:rPr>
          <w:rtl w:val="0"/>
        </w:rPr>
        <w:t xml:space="preserve"/>
      </w:r>
      <w:r>
        <w:rPr>
          <w:rtl w:val="0"/>
        </w:rPr>
        <w:t xml:space="preserve">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8"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6.5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rtl w:val="0"/>
        </w:rPr>
        <w:t xml:space="preserve">carregam</w:t>
      </w:r>
      <w:r>
        <w:rPr>
          <w:rtl w:val="0"/>
        </w:rPr>
        <w:t xml:space="preserve"> restrições e possibilidades materiais</w:t>
      </w:r>
      <w:r>
        <w:rPr>
          <w:rtl w:val="0"/>
        </w:rPr>
        <w:t xml:space="preserve"> (BOWE; BALL; GOLD, 1992</w:t>
      </w:r>
      <w:r>
        <w:rPr>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rtl w:val="0"/>
        </w:rPr>
        <w:t xml:space="preserve">com detalhe </w:t>
      </w:r>
      <w:r>
        <w:rPr>
          <w:rtl w:val="0"/>
        </w:rPr>
        <w:t xml:space="preserve">da situação na qual a condição anunciada pela política, seja o equipamento, a conexão ou a formação, não chega à escola e</w:t>
      </w:r>
      <w:r>
        <w:rPr>
          <w:rtl w:val="0"/>
        </w:rPr>
        <w:t xml:space="preserve">, ainda assim, a escola precisa responder por ela</w:t>
      </w:r>
      <w:r>
        <w:rPr>
          <w:rtl w:val="0"/>
        </w:rPr>
        <w:t xml:space="preserve">. As condições documentadas neste capítulo indicam a possibilidade dessa situação em Pipa, e caberá às narrativas mostrar </w:t>
      </w:r>
      <w:r>
        <w:rPr>
          <w:rtl w:val="0"/>
        </w:rPr>
        <w:t xml:space="preserve">o que os profissionais fazem diante dela</w:t>
      </w:r>
      <w:r>
        <w:rPr>
          <w:rtl w:val="0"/>
        </w:rPr>
        <w:t xml:space="preserve">. Com isso, o capítulo </w:t>
      </w:r>
      <w:r>
        <w:rPr>
          <w:rtl w:val="0"/>
        </w:rPr>
        <w:t xml:space="preserve">oferece a base para o</w:t>
      </w:r>
      <w:r>
        <w:rPr>
          <w:rtl w:val="0"/>
        </w:rPr>
        <w:t xml:space="preserve"> objetivo específico (b) e entrega ao Capítulo 7 as condições documentadas sob as quais </w:t>
      </w:r>
      <w:r>
        <w:rPr>
          <w:rtl w:val="0"/>
        </w:rPr>
        <w:t xml:space="preserve">as formas de atuação serão examinadas</w:t>
      </w:r>
      <w:r>
        <w:rPr>
          <w:rtl w:val="0"/>
        </w:rPr>
        <w:t xml:space="preserve">.</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como profissionais que, com frequência, vivem no distrito e reencontram as famílias fora da escola leem a política, e como esse convívio participa das culturas profissionais da escola. O objetivo (b) é aquele a que este capítulo responde mais diretamente, com as condições documentadas. Para o objetivo (c), as formas de atuação serão lidas em relação a decisões tomadas diante de pessoas que os profissionais encontram na rua, numa vila em que questões como a exposição da imagem das crianças podem ganhar contornos próprios por causa do turismo. Para o objetivo (d),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do distrito e as salas sem tela, documentado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pageBreakBefore/>
        <w:spacing w:after="0" w:before="0"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sz w:val="24"/>
          <w:szCs w:val="24"/>
          <w:rtl w:val="0"/>
        </w:rPr>
        <w:t xml:space="preserve">REFERÊNCIAS</w:t>
      </w:r>
    </w:p>
    <w:p w:rsidR="00000000" w:rsidDel="00000000" w:rsidP="00000000" w:rsidRDefault="00000000" w:rsidRPr="00000000" w14:paraId="000002E1">
      <w:pPr>
        <w:spacing w:after="0" w:before="0" w:lineRule="auto"/>
        <w:jc w:val="left"/>
        <w:rPr/>
      </w:pPr>
      <w:r w:rsidDel="00000000" w:rsidR="00000000" w:rsidRPr="00000000">
        <w:rPr>
          <w:rtl w:val="0"/>
        </w:rPr>
        <w:t xml:space="preserve">AIRES, Jussara Danielle Martins. </w:t>
      </w:r>
      <w:r w:rsidDel="00000000" w:rsidR="00000000" w:rsidRPr="00000000">
        <w:rPr>
          <w:b/>
          <w:rtl w:val="0"/>
        </w:rPr>
        <w:t xml:space="preserve">Histórias e relatos sobre Pipa</w:t>
      </w:r>
      <w:r w:rsidDel="00000000" w:rsidR="00000000" w:rsidRPr="00000000">
        <w:rPr>
          <w:rtl w:val="0"/>
        </w:rPr>
        <w:t xml:space="preserve">: a praia internacional do Rio Grande do Norte. 2012. 114 f. Dissertação (Mestrado em Ciências Sociais) – Programa de Pós-Graduação em Ciências Sociais, Universidade Federal do Rio Grande do Norte, Natal, 2012.</w:t>
      </w:r>
    </w:p>
    <w:p w:rsidR="00000000" w:rsidDel="00000000" w:rsidP="00000000" w:rsidRDefault="00000000" w:rsidRPr="00000000" w14:paraId="000002E1">
      <w:pPr>
        <w:spacing w:after="0" w:before="0" w:lineRule="auto"/>
        <w:jc w:val="left"/>
        <w:rPr/>
      </w:pPr>
      <w:r w:rsidDel="00000000" w:rsidR="00000000" w:rsidRPr="00000000">
        <w:rPr>
          <w:rtl w:val="0"/>
        </w:rPr>
        <w:t xml:space="preserve">BALL, Stephen J. </w:t>
      </w:r>
      <w:r w:rsidDel="00000000" w:rsidR="00000000" w:rsidRPr="00000000">
        <w:rPr>
          <w:b/>
          <w:rtl w:val="0"/>
        </w:rPr>
        <w:t xml:space="preserve">Education reform</w:t>
      </w:r>
      <w:r w:rsidDel="00000000" w:rsidR="00000000" w:rsidRPr="00000000">
        <w:rPr>
          <w:rtl w:val="0"/>
        </w:rPr>
        <w:t xml:space="preserve">: a critical and post-structural approach. Buckingham: Open University Press, 1994.</w:t>
      </w:r>
    </w:p>
    <w:p>
      <w:pPr>
        <w:spacing w:after="0" w:before="0" w:lineRule="auto"/>
        <w:jc w:val="left"/>
        <w:rPr/>
      </w:pPr>
      <w:r>
        <w:rPr>
          <w:rtl w:val="0"/>
        </w:rPr>
        <w:t xml:space="preserve">BALL, Stephen J. Reformar escolas/reformar professores e os terrores da performatividade. </w:t>
      </w:r>
      <w:r>
        <w:rPr>
          <w:b/>
          <w:rtl w:val="0"/>
        </w:rPr>
        <w:t xml:space="preserve">Revista Portuguesa de Educação</w:t>
      </w:r>
      <w:r>
        <w:rPr>
          <w:rtl w:val="0"/>
        </w:rPr>
        <w:t xml:space="preserve">,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BALL, Stephen J.; MAGUIRE, Meg; BRAUN, Annette. </w:t>
      </w:r>
      <w:r w:rsidDel="00000000" w:rsidR="00000000" w:rsidRPr="00000000">
        <w:rPr>
          <w:b/>
          <w:rtl w:val="0"/>
        </w:rPr>
        <w:t xml:space="preserve">Como as escolas fazem as políticas</w:t>
      </w:r>
      <w:r w:rsidDel="00000000" w:rsidR="00000000" w:rsidRPr="00000000">
        <w:rPr>
          <w:rtl w:val="0"/>
        </w:rPr>
        <w:t xml:space="preserve">: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left"/>
        <w:rPr/>
      </w:pPr>
      <w:r w:rsidDel="00000000" w:rsidR="00000000" w:rsidRPr="00000000">
        <w:rPr>
          <w:rtl w:val="0"/>
        </w:rPr>
        <w:t xml:space="preserve">BAUMAN, Zygmunt. </w:t>
      </w:r>
      <w:r w:rsidDel="00000000" w:rsidR="00000000" w:rsidRPr="00000000">
        <w:rPr>
          <w:b/>
          <w:rtl w:val="0"/>
        </w:rPr>
        <w:t xml:space="preserve">Globalização</w:t>
      </w:r>
      <w:r w:rsidDel="00000000" w:rsidR="00000000" w:rsidRPr="00000000">
        <w:rPr>
          <w:rtl w:val="0"/>
        </w:rPr>
        <w:t xml:space="preserve">: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left"/>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left"/>
        <w:rPr/>
      </w:pPr>
      <w:r w:rsidDel="00000000" w:rsidR="00000000" w:rsidRPr="00000000">
        <w:rPr>
          <w:rtl w:val="0"/>
        </w:rPr>
        <w:t xml:space="preserve">BRASIL. </w:t>
      </w:r>
      <w:r w:rsidDel="00000000" w:rsidR="00000000" w:rsidRPr="00000000">
        <w:rPr>
          <w:b/>
          <w:rtl w:val="0"/>
        </w:rPr>
        <w:t xml:space="preserve">Base Nacional Comum Curricular</w:t>
      </w:r>
      <w:r w:rsidDel="00000000" w:rsidR="00000000" w:rsidRPr="00000000">
        <w:rPr>
          <w:rtl w:val="0"/>
        </w:rPr>
        <w:t xml:space="preserve">.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left"/>
        <w:rPr/>
      </w:pPr>
      <w:r w:rsidDel="00000000" w:rsidR="00000000" w:rsidRPr="00000000">
        <w:rPr>
          <w:rtl w:val="0"/>
        </w:rPr>
        <w:t xml:space="preserve">BRASIL. Ministério da Educação. </w:t>
      </w:r>
      <w:r w:rsidDel="00000000" w:rsidR="00000000" w:rsidRPr="00000000">
        <w:rPr>
          <w:b/>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left"/>
        <w:rPr/>
      </w:pPr>
      <w:r w:rsidDel="00000000" w:rsidR="00000000" w:rsidRPr="00000000">
        <w:rPr>
          <w:rtl w:val="0"/>
        </w:rPr>
        <w:t xml:space="preserve">BRASIL. Conselho Nacional de Saúde. Resolução nº 510, de 7 de abril de 2016. </w:t>
      </w:r>
      <w:r w:rsidDel="00000000" w:rsidR="00000000" w:rsidRPr="00000000">
        <w:rPr>
          <w:b/>
          <w:rtl w:val="0"/>
        </w:rPr>
        <w:t xml:space="preserve">Diário Oficial da União</w:t>
      </w:r>
      <w:r w:rsidDel="00000000" w:rsidR="00000000" w:rsidRPr="00000000">
        <w:rPr>
          <w:rtl w:val="0"/>
        </w:rPr>
        <w:t xml:space="preserve">,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left"/>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left"/>
        <w:rPr/>
      </w:pPr>
      <w:r w:rsidDel="00000000" w:rsidR="00000000" w:rsidRPr="00000000">
        <w:rPr>
          <w:rtl w:val="0"/>
        </w:rPr>
        <w:t xml:space="preserve">CASTELLS, Manuel. </w:t>
      </w:r>
      <w:r w:rsidDel="00000000" w:rsidR="00000000" w:rsidRPr="00000000">
        <w:rPr>
          <w:b/>
          <w:rtl w:val="0"/>
        </w:rPr>
        <w:t xml:space="preserve">A sociedade em rede</w:t>
      </w:r>
      <w:r w:rsidDel="00000000" w:rsidR="00000000" w:rsidRPr="00000000">
        <w:rPr>
          <w:rtl w:val="0"/>
        </w:rPr>
        <w:t xml:space="preserv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left"/>
        <w:rPr/>
      </w:pPr>
      <w:r w:rsidDel="00000000" w:rsidR="00000000" w:rsidRPr="00000000">
        <w:rPr>
          <w:rtl w:val="0"/>
        </w:rPr>
        <w:t xml:space="preserve">DI FELICE, Massimo. </w:t>
      </w:r>
      <w:r w:rsidDel="00000000" w:rsidR="00000000" w:rsidRPr="00000000">
        <w:rPr>
          <w:b/>
          <w:rtl w:val="0"/>
        </w:rPr>
        <w:t xml:space="preserve">Paisagens pós-urbanas</w:t>
      </w:r>
      <w:r w:rsidDel="00000000" w:rsidR="00000000" w:rsidRPr="00000000">
        <w:rPr>
          <w:rtl w:val="0"/>
        </w:rPr>
        <w:t xml:space="preserve">: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left"/>
        <w:rPr/>
      </w:pPr>
      <w:r w:rsidDel="00000000" w:rsidR="00000000" w:rsidRPr="00000000">
        <w:rPr>
          <w:rtl w:val="0"/>
        </w:rPr>
        <w:t xml:space="preserve">DORNELLES, Leni Vieira. </w:t>
      </w:r>
      <w:r w:rsidDel="00000000" w:rsidR="00000000" w:rsidRPr="00000000">
        <w:rPr>
          <w:b/>
          <w:rtl w:val="0"/>
        </w:rPr>
        <w:t xml:space="preserve">Infâncias que nos escapam</w:t>
      </w:r>
      <w:r w:rsidDel="00000000" w:rsidR="00000000" w:rsidRPr="00000000">
        <w:rPr>
          <w:rtl w:val="0"/>
        </w:rPr>
        <w:t xml:space="preserve">: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left"/>
        <w:rPr/>
      </w:pPr>
      <w:r w:rsidDel="00000000" w:rsidR="00000000" w:rsidRPr="00000000">
        <w:rPr>
          <w:rtl w:val="0"/>
        </w:rPr>
        <w:t xml:space="preserve">FREIRE, Paulo. </w:t>
      </w:r>
      <w:r w:rsidDel="00000000" w:rsidR="00000000" w:rsidRPr="00000000">
        <w:rPr>
          <w:b/>
          <w:rtl w:val="0"/>
        </w:rPr>
        <w:t xml:space="preserve">A importância do ato de ler</w:t>
      </w:r>
      <w:r w:rsidDel="00000000" w:rsidR="00000000" w:rsidRPr="00000000">
        <w:rPr>
          <w:rtl w:val="0"/>
        </w:rPr>
        <w:t xml:space="preserve">: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left"/>
        <w:rPr/>
      </w:pPr>
      <w:r w:rsidDel="00000000" w:rsidR="00000000" w:rsidRPr="00000000">
        <w:rPr>
          <w:rtl w:val="0"/>
        </w:rPr>
        <w:t xml:space="preserve">FREIRE, Paulo. </w:t>
      </w:r>
      <w:r w:rsidDel="00000000" w:rsidR="00000000" w:rsidRPr="00000000">
        <w:rPr>
          <w:b/>
          <w:rtl w:val="0"/>
        </w:rPr>
        <w:t xml:space="preserve">Pedagogia da autonomia</w:t>
      </w:r>
      <w:r w:rsidDel="00000000" w:rsidR="00000000" w:rsidRPr="00000000">
        <w:rPr>
          <w:rtl w:val="0"/>
        </w:rPr>
        <w:t xml:space="preserve">: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left"/>
        <w:rPr/>
      </w:pPr>
      <w:r w:rsidDel="00000000" w:rsidR="00000000" w:rsidRPr="00000000">
        <w:rPr>
          <w:rtl w:val="0"/>
        </w:rPr>
        <w:t xml:space="preserve">HALL, Stuart. </w:t>
      </w:r>
      <w:r w:rsidDel="00000000" w:rsidR="00000000" w:rsidRPr="00000000">
        <w:rPr>
          <w:b/>
          <w:rtl w:val="0"/>
        </w:rPr>
        <w:t xml:space="preserve">A identidade cultural na pós-modernidade</w:t>
      </w:r>
      <w:r w:rsidDel="00000000" w:rsidR="00000000" w:rsidRPr="00000000">
        <w:rPr>
          <w:rtl w:val="0"/>
        </w:rPr>
        <w:t xml:space="preserv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left"/>
        <w:rPr/>
      </w:pPr>
      <w:r w:rsidDel="00000000" w:rsidR="00000000" w:rsidRPr="00000000">
        <w:rPr>
          <w:rtl w:val="0"/>
        </w:rPr>
        <w:t xml:space="preserve">ONU. Comitê dos Direitos da Criança. </w:t>
      </w:r>
      <w:r w:rsidDel="00000000" w:rsidR="00000000" w:rsidRPr="00000000">
        <w:rPr>
          <w:b/>
          <w:rtl w:val="0"/>
        </w:rPr>
        <w:t xml:space="preserve">Comentário Geral nº 25 (2021) sobre os direitos das crianças em relação ao ambiente digital</w:t>
      </w:r>
      <w:r w:rsidDel="00000000" w:rsidR="00000000" w:rsidRPr="00000000">
        <w:rPr>
          <w:rtl w:val="0"/>
        </w:rPr>
        <w:t xml:space="preserve">.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left"/>
        <w:rPr/>
      </w:pPr>
      <w:r w:rsidDel="00000000" w:rsidR="00000000" w:rsidRPr="00000000">
        <w:rPr>
          <w:rtl w:val="0"/>
        </w:rPr>
        <w:t xml:space="preserve">SANTOS, Milton. </w:t>
      </w:r>
      <w:r w:rsidDel="00000000" w:rsidR="00000000" w:rsidRPr="00000000">
        <w:rPr>
          <w:b/>
          <w:rtl w:val="0"/>
        </w:rPr>
        <w:t xml:space="preserve">Pensando o espaço do homem</w:t>
      </w:r>
      <w:r w:rsidDel="00000000" w:rsidR="00000000" w:rsidRPr="00000000">
        <w:rPr>
          <w:rtl w:val="0"/>
        </w:rPr>
        <w:t xml:space="preserve">.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left"/>
        <w:rPr/>
      </w:pPr>
      <w:r w:rsidDel="00000000" w:rsidR="00000000" w:rsidRPr="00000000">
        <w:rPr>
          <w:rtl w:val="0"/>
        </w:rPr>
        <w:t xml:space="preserve">SANTOS, Milton. </w:t>
      </w:r>
      <w:r w:rsidDel="00000000" w:rsidR="00000000" w:rsidRPr="00000000">
        <w:rPr>
          <w:b/>
          <w:rtl w:val="0"/>
        </w:rPr>
        <w:t xml:space="preserve">Espaço e método</w:t>
      </w:r>
      <w:r w:rsidDel="00000000" w:rsidR="00000000" w:rsidRPr="00000000">
        <w:rPr>
          <w:rtl w:val="0"/>
        </w:rPr>
        <w:t xml:space="preserve">.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PALAGI, Ana Maria Marques. O habitar do ensinar e do aprender OnLIFE: vivências na educação contemporânea. In: 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 p. 15-34.</w:t>
      </w:r>
    </w:p>
    <w:p w:rsidR="00000000" w:rsidDel="00000000" w:rsidP="00000000" w:rsidRDefault="00000000" w:rsidRPr="00000000" w14:paraId="0000030D">
      <w:pPr>
        <w:spacing w:after="0" w:before="0" w:lineRule="auto"/>
        <w:jc w:val="left"/>
        <w:rPr/>
      </w:pPr>
      <w:r w:rsidDel="00000000" w:rsidR="00000000" w:rsidRPr="00000000">
        <w:rPr>
          <w:rtl w:val="0"/>
        </w:rPr>
        <w:t xml:space="preserve">VALENTE, José Armando (org.). </w:t>
      </w:r>
      <w:r w:rsidDel="00000000" w:rsidR="00000000" w:rsidRPr="00000000">
        <w:rPr>
          <w:b/>
          <w:rtl w:val="0"/>
        </w:rPr>
        <w:t xml:space="preserve">O computador na sociedade do conhecimento</w:t>
      </w:r>
      <w:r w:rsidDel="00000000" w:rsidR="00000000" w:rsidRPr="00000000">
        <w:rPr>
          <w:rtl w:val="0"/>
        </w:rPr>
        <w:t xml:space="preserve">.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pageBreakBefore/>
        <w:spacing w:after="0" w:before="0" w:line="360" w:lineRule="auto"/>
        <w:ind w:firstLine="0"/>
        <w:jc w:val="center"/>
        <w:rPr>
          <w:rFonts w:ascii="Times New Roman" w:cs="Times New Roman" w:eastAsia="Times New Roman" w:hAnsi="Times New Roman"/>
        </w:rPr>
      </w:pPr>
      <w:r w:rsidDel="00000000" w:rsidR="00000000" w:rsidRPr="00000000">
        <w:rPr>
          <w:b/>
          <w:bCs w:val="1"/>
          <w:rtl w:val="0"/>
        </w:rPr>
        <w:t xml:space="preserve">APÊNDICE F – CADERNO ICONOGRÁFICO DA PESQUISA</w:t>
      </w:r>
      <w:r w:rsidDel="00000000" w:rsidR="00000000" w:rsidRPr="00000000">
        <w:rPr>
          <w:rFonts w:ascii="Times New Roman" w:cs="Times New Roman" w:eastAsia="Times New Roman" w:hAnsi="Times New Roman"/>
          <w:b/>
          <w:bCs w:val="1"/>
          <w:sz w:val="24"/>
          <w:szCs w:val="24"/>
          <w:rtl w:val="0"/>
        </w:rPr>
        <w:t xml:space="preserve"/>
      </w:r>
      <w:r w:rsidDel="00000000" w:rsidR="00000000" w:rsidRPr="00000000">
        <w:rPr>
          <w:b/>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F.1 e F.2,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da Silva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F.1 – Índice remissivo de figuras</w:t>
      </w:r>
    </w:p>
    <w:tbl>
      <w:tblPr>
        <w:tblStyle w:val="Table4"/>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F.1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F.2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