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709"/>
        <w:jc w:val="both"/>
      </w:pPr>
      <w:r>
        <w:rPr>
          <w:rFonts w:ascii="Times New Roman" w:hAnsi="Times New Roman"/>
          <w:sz w:val="24"/>
        </w:rPr>
        <w:t>1. INTRODUÇÃO</w:t>
      </w:r>
    </w:p>
    <w:p>
      <w:pPr>
        <w:spacing w:line="360" w:lineRule="auto"/>
        <w:ind w:firstLine="709"/>
        <w:jc w:val="both"/>
      </w:pPr>
      <w:r>
        <w:rPr>
          <w:rFonts w:ascii="Times New Roman" w:hAnsi="Times New Roman"/>
          <w:sz w:val="24"/>
        </w:rPr>
        <w:t>As tecnologias digitais estão cada vez mais presentes no cotidiano escolar. Conectividade, computadores e plataformas educacionais, antes restritos aos laboratórios de informática, passaram a fazer parte do trabalho pedagógico e ampliaram as exigências dirigidas às políticas públicas. Essa presença, no entanto, não se dá da mesma forma em todas as escolas, uma vez que o uso das tecnologias depende da infraestrutura, da conexão</w:t>
      </w:r>
      <w:r>
        <w:rPr>
          <w:rFonts w:ascii="Times New Roman" w:hAnsi="Times New Roman"/>
          <w:sz w:val="24"/>
          <w:highlight w:val="yellow"/>
        </w:rPr>
        <w:t>, da formação e do território em que</w:t>
      </w:r>
      <w:r>
        <w:rPr>
          <w:rFonts w:ascii="Times New Roman" w:hAnsi="Times New Roman"/>
          <w:sz w:val="24"/>
        </w:rPr>
        <w:t xml:space="preserve"> cada escola está situada</w:t>
      </w:r>
      <w:r>
        <w:rPr>
          <w:rFonts w:ascii="Times New Roman" w:hAnsi="Times New Roman"/>
          <w:sz w:val="24"/>
        </w:rPr>
        <w:t>. Ainda no fim da década de 1990, Valente (1999, p. 83) advertia que “implantar computadores nas escolas sem o devido preparo de professores e da comunidade escolar não trará os benefícios que esperamos”. A advertência continua atual, pois lembra que a chegada do equipamento não garante seu uso pedagógico. Na escola investigada, porém, a situação antecede essa discussão, uma vez que as salas de 1º e 2º anos registradas na pesquisa não dispõem de nenhum dispositivo digital. É a distância entre a educação digital garantida pela lei e as condições concretas disponíveis na sala de aula que esta tese busca compreender.</w:t>
      </w:r>
    </w:p>
    <w:p>
      <w:pPr>
        <w:spacing w:line="360" w:lineRule="auto"/>
        <w:ind w:firstLine="709"/>
        <w:jc w:val="both"/>
      </w:pPr>
      <w:r>
        <w:rPr>
          <w:rFonts w:ascii="Times New Roman" w:hAnsi="Times New Roman"/>
          <w:sz w:val="24"/>
        </w:rPr>
        <w:t>Esse cenário tem uma história. Desde a década de 1980, o poder público desenvolve programas voltados à ampliação do acesso, da infraestrutura e do uso das tecnologias no trabalho pedagógico da educação básica, entre eles o Programa Nacional de Tecnologia Educacional (ProInfo), o Programa Um Computador por Aluno (PROUCA) e a Política de Inovação Educação Conectada (PIEC). Cada iniciativa respondeu a um diagnóstico de sua época. O ProInfo e o PROUCA levaram equipamentos a muitas escolas, e parte deles ainda permanece nelas; a PIEC, ainda vigente, repassa anualmente às escolas recursos para contratar a conexão, distribuir o sinal de internet para uso pedagógico e adquirir recursos tecnológicos. Com a pandemia de COVID-19, o uso emergencial dos recursos digitais evidenciou suas possibilidades para o ensino e, ao mesmo tempo, expôs as desigualdades de acesso, de conexão e de condições de trabalho entre estudantes, famílias e profissionais da educação. Acompanhamos essa realidade de perto na pesquisa de mestrado, realizada na mesma escola agora investigada.</w:t>
      </w:r>
    </w:p>
    <w:p>
      <w:pPr>
        <w:spacing w:line="360" w:lineRule="auto"/>
        <w:ind w:firstLine="709"/>
        <w:jc w:val="both"/>
      </w:pPr>
      <w:r>
        <w:rPr>
          <w:rFonts w:ascii="Times New Roman" w:hAnsi="Times New Roman"/>
          <w:sz w:val="24"/>
        </w:rPr>
        <w:t>Nesse percurso, a Lei nº 14.533, de 11 de janeiro de 2023, instituiu a Política Nacional de Educação Digital (PNED), organizada em quatro eixos: inclusão digital; educação digital escolar; capacitação e especialização digital; e pesquisa e desenvolvimento em tecnologias da informação e comunicação (BRASIL, 2023a, art. 1º, § 2º). Esta investigação se concentra no segundo eixo, cujo objetivo, de acordo com a lei, é “garantir a inserção da educação digital nos ambientes escolares, em todos os níveis e modalidades, a partir do estímulo ao letramento digital e informacional e à aprendizagem de computação, de programação, de robótica e de outras competências digitais” (BRASIL, 2023a, art. 3º). O eixo engloba cinco dimensões: pensamento computacional, mundo digital, cultura digital, direitos digitais e tecnologia assistiva.</w:t>
      </w:r>
    </w:p>
    <w:p>
      <w:pPr>
        <w:spacing w:line="360" w:lineRule="auto"/>
        <w:ind w:firstLine="709"/>
        <w:jc w:val="both"/>
      </w:pPr>
      <w:r>
        <w:rPr>
          <w:rFonts w:ascii="Times New Roman" w:hAnsi="Times New Roman"/>
          <w:sz w:val="24"/>
        </w:rPr>
        <w:t>Ao reunir essas dimensões em um mesmo artigo, a lei coloca a escola diante de exigências de naturezas diferentes. Pensamento computacional e mundo digital têm inclinação técnica, enquanto cultura digital e direitos digitais têm inclinação formativa e cidadã. O próprio texto legal emprega a expressão letramento digital e informacional ao lado da aprendizagem de computação, programação e robótica, o que autoriza uma leitura ampla do eixo. Por essa razão, adotamos nesta tese a noção de educação digital em suas dimensões culturais, críticas, sociais e cidadãs, sem reduzir a tecnologia à operação de máquinas. Rojo (2013) oferece um caminho para essa compreensão ao explicar o conceito de multiletramentos:</w:t>
      </w:r>
    </w:p>
    <w:p>
      <w:pPr>
        <w:spacing w:line="240" w:lineRule="auto" w:after="240"/>
        <w:ind w:left="2268"/>
        <w:jc w:val="both"/>
      </w:pPr>
      <w:r>
        <w:rPr>
          <w:rFonts w:ascii="Times New Roman" w:hAnsi="Times New Roman"/>
          <w:sz w:val="20"/>
        </w:rPr>
        <w:t>O conceito de multiletramentos, articulado pelo Grupo de Nova Londres, busca justamente apontar, já de saída, por meio do prefixo “multi”, para dois tipos de “múltiplos” que as práticas de letramento contemporâneas envolvem: por um lado, a multiplicidade de linguagens, semioses e mídias envolvidas na criação de significação para os textos multimodais contemporâneos e, por outro, a pluralidade e a diversidade cultural trazidas pelos autores/leitores contemporâneos a essa criação de significação. (ROJO, 2013, p. 14)</w:t>
      </w:r>
    </w:p>
    <w:p>
      <w:pPr>
        <w:spacing w:line="360" w:lineRule="auto"/>
        <w:ind w:firstLine="709"/>
        <w:jc w:val="both"/>
      </w:pPr>
      <w:r>
        <w:rPr>
          <w:rFonts w:ascii="Times New Roman" w:hAnsi="Times New Roman"/>
          <w:sz w:val="24"/>
        </w:rPr>
        <w:t>Os dois “múltiplos” interessam a esta investigação. O primeiro diz respeito às linguagens e às mídias com as quais as crianças convivem desde cedo; o segundo, à diversidade cultural de quem produz sentido com elas. Nos anos iniciais de uma escola de Pipa, onde estudam crianças de trajetórias muito diversas, as duas dimensões chegam juntas à sala de aula, e a educação digital prevista na lei passa a depender do modo como cada profissional as reconhece, situa e trabalha.</w:t>
      </w:r>
    </w:p>
    <w:p>
      <w:pPr>
        <w:spacing w:line="360" w:lineRule="auto"/>
        <w:ind w:firstLine="709"/>
        <w:jc w:val="both"/>
      </w:pPr>
      <w:r>
        <w:rPr>
          <w:rFonts w:ascii="Times New Roman" w:hAnsi="Times New Roman"/>
          <w:sz w:val="24"/>
        </w:rPr>
        <w:t xml:space="preserve">Esse reconhecimento varia de pessoa para pessoa, uma vez que cultura digital e direitos digitais não são expressões autoevidentes. Quando uma professora afirma trabalhar cultura digital com a turma, ou quando uma gestora garante cuidar dos direitos digitais das crianças, cada uma fala a partir de um entendimento próprio, a ser interpretado. Stuart Hall (2006) </w:t>
      </w:r>
      <w:r>
        <w:rPr>
          <w:rFonts w:ascii="Times New Roman" w:hAnsi="Times New Roman"/>
          <w:sz w:val="24"/>
          <w:highlight w:val="yellow"/>
        </w:rPr>
        <w:t>oferece uma chave para ler essas falas. Ao discutir as culturas nacionais, o autor afirma que “uma</w:t>
      </w:r>
      <w:r>
        <w:rPr>
          <w:rFonts w:ascii="Times New Roman" w:hAnsi="Times New Roman"/>
          <w:sz w:val="24"/>
        </w:rPr>
        <w:t xml:space="preserve"> cultura nacional é um discurso – um modo de construir sentidos que influencia e organiza tanto nossas ações quanto a concepção que temos de nós mesmos” (HALL, 2006, p. 50)</w:t>
      </w:r>
      <w:r>
        <w:rPr>
          <w:rFonts w:ascii="Times New Roman" w:hAnsi="Times New Roman"/>
          <w:sz w:val="24"/>
          <w:highlight w:val="yellow"/>
        </w:rPr>
        <w:t>. Hall</w:t>
      </w:r>
      <w:r>
        <w:rPr>
          <w:rFonts w:ascii="Times New Roman" w:hAnsi="Times New Roman"/>
          <w:sz w:val="24"/>
        </w:rPr>
        <w:t xml:space="preserve"> não trata de políticas educacionais, e a aproximação é nossa</w:t>
      </w:r>
      <w:r>
        <w:rPr>
          <w:rFonts w:ascii="Times New Roman" w:hAnsi="Times New Roman"/>
          <w:sz w:val="24"/>
          <w:highlight w:val="yellow"/>
        </w:rPr>
        <w:t>; da</w:t>
      </w:r>
      <w:r>
        <w:rPr>
          <w:rFonts w:ascii="Times New Roman" w:hAnsi="Times New Roman"/>
          <w:sz w:val="24"/>
        </w:rPr>
        <w:t xml:space="preserve"> passagem retiramos a ideia de que os sentidos organizam a ação. Entendemos por sentido, assim, a significação produzida por cada profissional sobre a política, inseparável de sua trajetória, de suas condições de trabalho e do lugar institucional de onde fala. Por essa razão, as narrativas dos profissionais ocupam o centro da produção de dados.</w:t>
      </w:r>
    </w:p>
    <w:p>
      <w:pPr>
        <w:spacing w:line="360" w:lineRule="auto"/>
        <w:ind w:firstLine="709"/>
        <w:jc w:val="both"/>
      </w:pPr>
      <w:r>
        <w:rPr>
          <w:rFonts w:ascii="Times New Roman" w:hAnsi="Times New Roman"/>
          <w:sz w:val="24"/>
        </w:rPr>
        <w:t xml:space="preserve">A compreensão </w:t>
      </w:r>
      <w:r>
        <w:rPr>
          <w:rFonts w:ascii="Times New Roman" w:hAnsi="Times New Roman"/>
          <w:sz w:val="24"/>
          <w:highlight w:val="yellow"/>
        </w:rPr>
        <w:t>dos</w:t>
      </w:r>
      <w:r>
        <w:rPr>
          <w:rFonts w:ascii="Times New Roman" w:hAnsi="Times New Roman"/>
          <w:sz w:val="24"/>
        </w:rPr>
        <w:t xml:space="preserve"> sentidos elaborados no cotidiano escolar exige </w:t>
      </w:r>
      <w:r>
        <w:rPr>
          <w:rFonts w:ascii="Times New Roman" w:hAnsi="Times New Roman"/>
          <w:sz w:val="24"/>
          <w:highlight w:val="yellow"/>
        </w:rPr>
        <w:t>reconhecer que as narrativas</w:t>
      </w:r>
      <w:r>
        <w:rPr>
          <w:rFonts w:ascii="Times New Roman" w:hAnsi="Times New Roman"/>
          <w:sz w:val="24"/>
        </w:rPr>
        <w:t xml:space="preserve"> não nascem isoladas do resto do mundo. Elas </w:t>
      </w:r>
      <w:r>
        <w:rPr>
          <w:rFonts w:ascii="Times New Roman" w:hAnsi="Times New Roman"/>
          <w:sz w:val="24"/>
          <w:highlight w:val="yellow"/>
        </w:rPr>
        <w:t>respondem a</w:t>
      </w:r>
      <w:r>
        <w:rPr>
          <w:rFonts w:ascii="Times New Roman" w:hAnsi="Times New Roman"/>
          <w:sz w:val="24"/>
        </w:rPr>
        <w:t xml:space="preserve"> pressões externas e estruturais, o que nos obriga a delimitar o lugar de dois referenciais críticos nesta tese: Zuboff (2021)</w:t>
      </w:r>
      <w:r>
        <w:rPr>
          <w:rFonts w:ascii="Times New Roman" w:hAnsi="Times New Roman"/>
          <w:sz w:val="24"/>
          <w:highlight w:val="yellow"/>
        </w:rPr>
        <w:t>, com</w:t>
      </w:r>
      <w:r>
        <w:rPr>
          <w:rFonts w:ascii="Times New Roman" w:hAnsi="Times New Roman"/>
          <w:sz w:val="24"/>
        </w:rPr>
        <w:t xml:space="preserve"> sua denúncia do capitalismo de vigilância</w:t>
      </w:r>
      <w:r>
        <w:rPr>
          <w:rFonts w:ascii="Times New Roman" w:hAnsi="Times New Roman"/>
          <w:sz w:val="24"/>
          <w:highlight w:val="yellow"/>
        </w:rPr>
        <w:t>, e Morozov (2018), com</w:t>
      </w:r>
      <w:r>
        <w:rPr>
          <w:rFonts w:ascii="Times New Roman" w:hAnsi="Times New Roman"/>
          <w:sz w:val="24"/>
        </w:rPr>
        <w:t xml:space="preserve"> seu alerta contra as saídas puramente técnicas para dilemas políticos</w:t>
      </w:r>
      <w:r>
        <w:rPr>
          <w:rFonts w:ascii="Times New Roman" w:hAnsi="Times New Roman"/>
          <w:sz w:val="24"/>
          <w:highlight w:val="yellow"/>
        </w:rPr>
        <w:t>. Os dois ajudam a desenhar o contexto em que surgiu a</w:t>
      </w:r>
      <w:r>
        <w:rPr>
          <w:rFonts w:ascii="Times New Roman" w:hAnsi="Times New Roman"/>
          <w:sz w:val="24"/>
        </w:rPr>
        <w:t xml:space="preserve"> Política Nacional de Educação Digital (PNED)</w:t>
      </w:r>
      <w:r>
        <w:rPr>
          <w:rFonts w:ascii="Times New Roman" w:hAnsi="Times New Roman"/>
          <w:sz w:val="24"/>
          <w:highlight w:val="yellow"/>
        </w:rPr>
        <w:t>,</w:t>
      </w:r>
      <w:r>
        <w:rPr>
          <w:rFonts w:ascii="Times New Roman" w:hAnsi="Times New Roman"/>
          <w:sz w:val="24"/>
        </w:rPr>
        <w:t xml:space="preserve"> no qual o digital costuma ser </w:t>
      </w:r>
      <w:r>
        <w:rPr>
          <w:rFonts w:ascii="Times New Roman" w:hAnsi="Times New Roman"/>
          <w:sz w:val="24"/>
          <w:highlight w:val="yellow"/>
        </w:rPr>
        <w:t>apresentado como resposta pronta</w:t>
      </w:r>
      <w:r>
        <w:rPr>
          <w:rFonts w:ascii="Times New Roman" w:hAnsi="Times New Roman"/>
          <w:sz w:val="24"/>
        </w:rPr>
        <w:t xml:space="preserve"> para os impasses do ensino, </w:t>
      </w:r>
      <w:r>
        <w:rPr>
          <w:rFonts w:ascii="Times New Roman" w:hAnsi="Times New Roman"/>
          <w:sz w:val="24"/>
          <w:highlight w:val="yellow"/>
        </w:rPr>
        <w:t>com forte sustentação de setores empresariais. Não buscamos, contudo,</w:t>
      </w:r>
      <w:r>
        <w:rPr>
          <w:rFonts w:ascii="Times New Roman" w:hAnsi="Times New Roman"/>
          <w:sz w:val="24"/>
        </w:rPr>
        <w:t xml:space="preserve"> o peso do capitalismo de vigilância nas falas </w:t>
      </w:r>
      <w:r>
        <w:rPr>
          <w:rFonts w:ascii="Times New Roman" w:hAnsi="Times New Roman"/>
          <w:sz w:val="24"/>
          <w:highlight w:val="yellow"/>
        </w:rPr>
        <w:t>de</w:t>
      </w:r>
      <w:r>
        <w:rPr>
          <w:rFonts w:ascii="Times New Roman" w:hAnsi="Times New Roman"/>
          <w:sz w:val="24"/>
        </w:rPr>
        <w:t xml:space="preserve"> doze profissionais de um </w:t>
      </w:r>
      <w:r>
        <w:rPr>
          <w:rFonts w:ascii="Times New Roman" w:hAnsi="Times New Roman"/>
          <w:sz w:val="24"/>
          <w:highlight w:val="yellow"/>
        </w:rPr>
        <w:t>município</w:t>
      </w:r>
      <w:r>
        <w:rPr>
          <w:rFonts w:ascii="Times New Roman" w:hAnsi="Times New Roman"/>
          <w:sz w:val="24"/>
        </w:rPr>
        <w:t xml:space="preserve"> de pequeno porte, pois </w:t>
      </w:r>
      <w:r>
        <w:rPr>
          <w:rFonts w:ascii="Times New Roman" w:hAnsi="Times New Roman"/>
          <w:sz w:val="24"/>
          <w:highlight w:val="yellow"/>
        </w:rPr>
        <w:t>isso forçaria</w:t>
      </w:r>
      <w:r>
        <w:rPr>
          <w:rFonts w:ascii="Times New Roman" w:hAnsi="Times New Roman"/>
          <w:sz w:val="24"/>
        </w:rPr>
        <w:t xml:space="preserve"> uma escala analítica que o material não comporta. Por essa razão, temas amplos como a plataformização do ensino e a governança de dados ajudam a situar o nascimento da política, </w:t>
      </w:r>
      <w:r>
        <w:rPr>
          <w:rFonts w:ascii="Times New Roman" w:hAnsi="Times New Roman"/>
          <w:sz w:val="24"/>
          <w:highlight w:val="yellow"/>
        </w:rPr>
        <w:t>mas permanecem, intencionalmente, fora do objeto empírico e reservados a</w:t>
      </w:r>
      <w:r>
        <w:rPr>
          <w:rFonts w:ascii="Times New Roman" w:hAnsi="Times New Roman"/>
          <w:sz w:val="24"/>
        </w:rPr>
        <w:t xml:space="preserve"> pesquisas futuras.</w:t>
      </w:r>
    </w:p>
    <w:p>
      <w:pPr>
        <w:spacing w:line="360" w:lineRule="auto"/>
        <w:ind w:firstLine="709"/>
        <w:jc w:val="both"/>
      </w:pPr>
      <w:r>
        <w:rPr>
          <w:rFonts w:ascii="Times New Roman" w:hAnsi="Times New Roman"/>
          <w:sz w:val="24"/>
        </w:rPr>
        <w:t>Delimitada essa escala, torna-se necessário explicitar o percurso de uma lei até a escola. Entre o texto oficial e o cotidiano escolar, as orientações encontram pessoas, limites institucionais, recursos desiguais e dinâmicas do território, e todos esses elementos interferem no modo como a norma é implementada. Por isso, tomamos a política como processo, com base na Abordagem do Ciclo de Políticas (ACP), formulada por Bowe, Ball e Gold (1992). Ao descreverem o contexto da prática, os autores afirmam: “a política não é simplesmente recebida e implementada nesta arena, ao contrário, ela está sujeita à interpretação e então é ‘recriada’” (BOWE; BALL; GOLD, 1992, p. 22, tradução nossa). Mainardes (2006, p. 52), ao sistematizar a ACP para a pesquisa educacional brasileira, explicita a consequência desse movimento: “o contexto da prática é onde a política está sujeita à interpretação e recriação e onde a política produz efeitos e conseqüências que podem representar mudanças e transformações significativas na política original”. Para esta pesquisa, a formulação tem um sentido preciso. Ao chegar à Escola Municipal Domitila Castelo, o eixo Educação Digital Escolar será lido, adaptado e, possivelmente, transformado por quem trabalha nela, e a análise precisa acompanhar essas transformações sem tratá-las, de antemão, como desvio.</w:t>
      </w:r>
    </w:p>
    <w:p>
      <w:pPr>
        <w:spacing w:line="360" w:lineRule="auto"/>
        <w:ind w:firstLine="709"/>
        <w:jc w:val="both"/>
      </w:pPr>
      <w:r>
        <w:rPr>
          <w:rFonts w:ascii="Times New Roman" w:hAnsi="Times New Roman"/>
          <w:sz w:val="24"/>
        </w:rPr>
        <w:t>Lima (2008), em texto retomado por Queiroz e Paiva (2014), chega a uma leitura próxima por outro caminho, ao tratar a escola como “uma esfera própria de mediação” entre o contexto social mais amplo, no qual inclui a economia, a sociedade, as políticas públicas e as estratégias educacionais, e “as interações de pequena escala” (LIMA, 2008, p. 86-87 apud QUEIROZ; PAIVA, 2014, p. 258). A escola aparece, então, como o lugar onde as duas escalas se encontram e se ajustam, compreensão coerente com a escolha de tomar uma única escola como caso e de nela ouvir os profissionais.</w:t>
      </w:r>
    </w:p>
    <w:p>
      <w:pPr>
        <w:spacing w:line="360" w:lineRule="auto"/>
        <w:ind w:firstLine="709"/>
        <w:jc w:val="both"/>
      </w:pPr>
      <w:r>
        <w:rPr>
          <w:rFonts w:ascii="Times New Roman" w:hAnsi="Times New Roman"/>
          <w:sz w:val="24"/>
        </w:rPr>
        <w:t>Esse processo exige cuidado com o vocabulário. Ball, Maguire e Braun (2016, p. 14), ao estudarem como escolas inglesas lidam com as políticas, afirmam que “a atuação de políticas envolve processos criativos de interpretação e recontextualização – ou seja, a tradução de textos em ação e as abstrações de ideias políticas em práticas contextualizadas”. Mantemos o termo implementação para designar o fenômeno investigado, por ser o termo adotado pela própria legislação e pelo campo, e adotamos a atuação como perspectiva de análise. Em outras palavras, o objeto é a implementação da política, e o caminho para compreendê-la é a atuação dos profissionais da educação.</w:t>
      </w:r>
    </w:p>
    <w:p>
      <w:pPr>
        <w:spacing w:line="360" w:lineRule="auto"/>
        <w:ind w:firstLine="709"/>
        <w:jc w:val="both"/>
      </w:pPr>
      <w:r>
        <w:rPr>
          <w:rFonts w:ascii="Times New Roman" w:hAnsi="Times New Roman"/>
          <w:sz w:val="24"/>
        </w:rPr>
        <w:t>Tomando a atuação dos profissionais como centro da análise, foi necessário definir onde ela se manifesta com maior nitidez, o que levou à delimitação do estudo no 1º e no 2º anos do Ensino Fundamental. A escolha decorre da organização do trabalho escolar. Nesses dois anos, a mesma profissional conduz a turma durante toda a jornada e trabalha os diferentes componentes curriculares, enquanto, do 3º ano em diante, o trabalho se divide entre profissionais responsáveis por componentes distintos. Para a categoria proposta nesta tese, apresentada adiante, essa característica é decisiva. Quando a profissional mobiliza recursos, tempo e conhecimentos próprios diante de uma falta deixada pela política, sua ação não se dilui em uma cadeia anônima de decisões, pois tem autoria e pode ser relatada por quem a realizou. O recorte foi pensado, assim, para observar o fenômeno onde ele aparece de forma menos diluída e onde, pelo mesmo motivo, a categoria pode ser confrontada com as narrativas e, se for o caso, recusada.</w:t>
      </w:r>
    </w:p>
    <w:p>
      <w:pPr>
        <w:spacing w:line="360" w:lineRule="auto"/>
        <w:ind w:firstLine="709"/>
        <w:jc w:val="both"/>
      </w:pPr>
      <w:r>
        <w:rPr>
          <w:rFonts w:ascii="Times New Roman" w:hAnsi="Times New Roman"/>
          <w:sz w:val="24"/>
        </w:rPr>
        <w:t>Nesses dois anos situa-se também o ciclo de alfabetização, cujo lugar nesta tese precisa ser esclarecido. Acompanhamos esse momento da escolarização desde o mestrado, mas a aprendizagem da escrita e o desenvolvimento infantil não constituem objeto desta investigação. O interesse pela etapa decorre por ser a entrada da criança no Ensino Fundamental, momento em que a escola passa a ter a tarefa de compreender as experiências digitais construídas pelas crianças fora de seus muros.</w:t>
      </w:r>
    </w:p>
    <w:p>
      <w:pPr>
        <w:spacing w:line="360" w:lineRule="auto"/>
        <w:ind w:firstLine="709"/>
        <w:jc w:val="both"/>
      </w:pPr>
      <w:r>
        <w:rPr>
          <w:rFonts w:ascii="Times New Roman" w:hAnsi="Times New Roman"/>
          <w:sz w:val="24"/>
        </w:rPr>
        <w:t xml:space="preserve">Essas experiências costumam ser lidas a partir da ideia, bastante difundida, </w:t>
      </w:r>
      <w:r>
        <w:rPr>
          <w:rFonts w:ascii="Times New Roman" w:hAnsi="Times New Roman"/>
          <w:sz w:val="24"/>
          <w:highlight w:val="yellow"/>
        </w:rPr>
        <w:t>de nativos digitais (PRENSKY, 2001), segundo a qual as novas gerações teriam facilidade natural</w:t>
      </w:r>
      <w:r>
        <w:rPr>
          <w:rFonts w:ascii="Times New Roman" w:hAnsi="Times New Roman"/>
          <w:sz w:val="24"/>
        </w:rPr>
        <w:t xml:space="preserve"> com a tecnologia, como se o contato precoce com as telas garantisse autonomia e discernimento. Buckingham (2006) questiona essa crença ao afirmar que “as crianças não sabem ‘naturalmente’ como usar computadores: como os adultos, muitas vezes elas experimentam confusão, tédio e frustração” (BUCKINGHAM, 2006, p. 39). O autor recusa tanto a imagem da criança vulnerável quanto a da criança naturalmente competente e conclui: “Nenhuma dessas visões, a meu ver, oferece uma base realista para a elaboração de políticas culturais, sociais e educacionais que possam de fato habilitar todas as crianças a lidar com as realidades culturais em mudança nas quais nasceram” (BUCKINGHAM, 2006, p. 40). Para a escola, a crítica tem uma consequência direta: se a familiaridade com os aparelhos não se converte, por si, em compreensão dos usos, dos riscos e dos direitos do mundo digital, essa compreensão precisa ser ensinada, e a tarefa chega à escola junto com as crianças. Nos anos iniciais, ela recai sobre a equipe pedagógica</w:t>
      </w:r>
      <w:r>
        <w:rPr>
          <w:rFonts w:ascii="Times New Roman" w:hAnsi="Times New Roman"/>
          <w:sz w:val="24"/>
          <w:highlight w:val="yellow"/>
        </w:rPr>
        <w:t xml:space="preserve"> e, de modo direto, sobre</w:t>
      </w:r>
      <w:r>
        <w:rPr>
          <w:rFonts w:ascii="Times New Roman" w:hAnsi="Times New Roman"/>
          <w:sz w:val="24"/>
        </w:rPr>
        <w:t xml:space="preserve"> a professora regente.</w:t>
      </w:r>
    </w:p>
    <w:p>
      <w:pPr>
        <w:spacing w:line="360" w:lineRule="auto"/>
        <w:ind w:firstLine="709"/>
        <w:jc w:val="both"/>
      </w:pPr>
      <w:r>
        <w:rPr>
          <w:rFonts w:ascii="Times New Roman" w:hAnsi="Times New Roman"/>
          <w:sz w:val="24"/>
        </w:rPr>
        <w:t xml:space="preserve">Em Pipa, além disso, as crianças chegam à escola com experiências digitais muito desiguais, marcadas pela trajetória e pelas possibilidades de suas famílias e pelo próprio território. Diante dessa diversidade e sem o apoio anunciado pela política, supomos que </w:t>
      </w:r>
      <w:r>
        <w:rPr>
          <w:rFonts w:ascii="Times New Roman" w:hAnsi="Times New Roman"/>
          <w:sz w:val="24"/>
          <w:highlight w:val="yellow"/>
        </w:rPr>
        <w:t>a professora</w:t>
      </w:r>
      <w:r>
        <w:rPr>
          <w:rFonts w:ascii="Times New Roman" w:hAnsi="Times New Roman"/>
          <w:sz w:val="24"/>
        </w:rPr>
        <w:t xml:space="preserve"> regente assuma essa tarefa, traduzindo essas linguagens no cotidiano e respondendo com os recursos </w:t>
      </w:r>
      <w:r>
        <w:rPr>
          <w:rFonts w:ascii="Times New Roman" w:hAnsi="Times New Roman"/>
          <w:sz w:val="24"/>
          <w:highlight w:val="yellow"/>
        </w:rPr>
        <w:t>de que</w:t>
      </w:r>
      <w:r>
        <w:rPr>
          <w:rFonts w:ascii="Times New Roman" w:hAnsi="Times New Roman"/>
          <w:sz w:val="24"/>
        </w:rPr>
        <w:t xml:space="preserve"> dispõe. É essa margem de decisão, exercida no canteiro da sala de aula, que a pesquisa propõe examinar.</w:t>
      </w:r>
    </w:p>
    <w:p>
      <w:pPr>
        <w:spacing w:line="360" w:lineRule="auto"/>
        <w:ind w:firstLine="709"/>
        <w:jc w:val="both"/>
      </w:pPr>
      <w:r>
        <w:rPr>
          <w:rFonts w:ascii="Times New Roman" w:hAnsi="Times New Roman"/>
          <w:sz w:val="24"/>
        </w:rPr>
        <w:t>Com esse recorte, definimos o objeto desta pesquisa: a implementação do eixo Educação Digital Escolar da PNED nos anos iniciais do Ensino Fundamental da Escola Municipal Domitila Castelo, no distrito de Pipa, em Tibau do Sul (RN). O estudo dessa escola exige olhar de perto o lugar onde a política é recebida e vivida. Por essa razão, o território, o funcionamento da escola e as condições de infraestrutura entram na análise como dimensões do contexto da prática, e as narrativas dos profissionais da educação constituem o principal caminho para compreender como a política ganha forma no cotidiano escolar.</w:t>
      </w:r>
    </w:p>
    <w:p>
      <w:pPr>
        <w:spacing w:line="360" w:lineRule="auto"/>
        <w:ind w:firstLine="709"/>
        <w:jc w:val="both"/>
      </w:pPr>
      <w:r>
        <w:rPr>
          <w:rFonts w:ascii="Times New Roman" w:hAnsi="Times New Roman"/>
          <w:sz w:val="24"/>
        </w:rPr>
        <w:t>O objeto nos coloca diante de uma questão presente em toda a tese: o que acontece com a implementação de uma política quando os direitos por ela instituídos não vêm acompanhados dos meios necessários para se realizarem? A seção 1.2 mostra como o próprio desenho da PNED produz essa situação. Diante dela e dos limites dos referenciais mobilizados, a pesquisa propõe uma categoria analítica, a discricionariedade substitutiva, apresentada na seção 1.4 e submetida às narrativas dos profissionais no Capítulo 7.</w:t>
      </w:r>
    </w:p>
    <w:p>
      <w:pPr>
        <w:spacing w:line="360" w:lineRule="auto" w:before="240" w:after="240"/>
      </w:pPr>
      <w:r>
        <w:rPr>
          <w:rFonts w:ascii="Times New Roman" w:hAnsi="Times New Roman"/>
          <w:b/>
          <w:sz w:val="24"/>
        </w:rPr>
        <w:t>1.1 JUSTIFICATIVA</w:t>
      </w:r>
    </w:p>
    <w:p>
      <w:pPr>
        <w:spacing w:line="360" w:lineRule="auto"/>
        <w:ind w:firstLine="709"/>
        <w:jc w:val="both"/>
      </w:pPr>
      <w:r>
        <w:rPr>
          <w:rFonts w:ascii="Times New Roman" w:hAnsi="Times New Roman"/>
          <w:sz w:val="24"/>
        </w:rPr>
        <w:t xml:space="preserve">A relevância deste objeto está, antes de tudo, no que o eixo promete às crianças. O inciso III do art. 3º associa a cultura digital à “participação consciente e democrática por meio das tecnologias digitais”, e o inciso IV associa os direitos digitais à “proteção dos dados da população mais vulnerável, em especial crianças e adolescentes” (BRASIL, 2023a, art. 3º, III e IV). Com a derrubada do veto ao § 11 do art. 26 da Lei de Diretrizes e Bases da Educação Nacional (LDB), a educação digital passou a ser componente curricular do ensino fundamental (BRASIL, 1996, art. 26, § 11), e a proteção da infância no ambiente digital ganhou outro marco com o Estatuto Digital da Criança e do Adolescente (BRASIL, 2025c), em vigor desde março de 2026. O componente </w:t>
      </w:r>
      <w:r>
        <w:rPr>
          <w:rFonts w:ascii="Times New Roman" w:hAnsi="Times New Roman"/>
          <w:sz w:val="24"/>
          <w:highlight w:val="yellow"/>
        </w:rPr>
        <w:t>pode tanto ser trabalhado de forma</w:t>
      </w:r>
      <w:r>
        <w:rPr>
          <w:rFonts w:ascii="Times New Roman" w:hAnsi="Times New Roman"/>
          <w:sz w:val="24"/>
        </w:rPr>
        <w:t xml:space="preserve"> transversal, permeando as diferentes áreas do conhecimento, quanto </w:t>
      </w:r>
      <w:r>
        <w:rPr>
          <w:rFonts w:ascii="Times New Roman" w:hAnsi="Times New Roman"/>
          <w:sz w:val="24"/>
          <w:highlight w:val="yellow"/>
        </w:rPr>
        <w:t>constituir componente</w:t>
      </w:r>
      <w:r>
        <w:rPr>
          <w:rFonts w:ascii="Times New Roman" w:hAnsi="Times New Roman"/>
          <w:sz w:val="24"/>
        </w:rPr>
        <w:t xml:space="preserve"> específico, a critério de cada sistema de ensino.</w:t>
      </w:r>
    </w:p>
    <w:p>
      <w:pPr>
        <w:spacing w:line="360" w:lineRule="auto"/>
        <w:ind w:firstLine="709"/>
        <w:jc w:val="both"/>
      </w:pPr>
      <w:r>
        <w:rPr>
          <w:rFonts w:ascii="Times New Roman" w:hAnsi="Times New Roman"/>
          <w:sz w:val="24"/>
        </w:rPr>
        <w:t>Nos anos iniciais, a escola é, para muitas crianças, o primeiro espaço público onde o uso das tecnologias digitais pode ser discutido com alguém responsável pelo ensino. O modo como o eixo chega à sala de aula define, por isso, se as crianças de seis e sete anos chegarão a compreender o ambiente digital e a se proteger nele. Quando o eixo não chega, ou chega por meios improvisados, perde-se parte da formação para a cidadania e da proteção reconhecidas pela lei como direito.</w:t>
      </w:r>
    </w:p>
    <w:p>
      <w:pPr>
        <w:spacing w:line="360" w:lineRule="auto"/>
        <w:ind w:firstLine="709"/>
        <w:jc w:val="both"/>
      </w:pPr>
      <w:r>
        <w:rPr>
          <w:rFonts w:ascii="Times New Roman" w:hAnsi="Times New Roman"/>
          <w:sz w:val="24"/>
        </w:rPr>
        <w:t>O eixo é relevante, também, por quem o faz acontecer. A própria lei reconhece a participação de diferentes sujeitos na implementação ao incluir, entre as estratégias prioritárias, a promoção das tecnologias digitais como ferramenta e conteúdo programático dos cursos de formação continuada de gestores e profissionais da educação de todos os níveis e modalidades de ensino (BRASIL, 2023a, art. 3º, § 1º, X). Direção, coordenação e professores regentes participam da implementação de modos diferentes, e o trabalho de cada um não se limita à sala de aula. Por essa razão, escolhemos olhar a implementação a partir dessas pessoas.</w:t>
      </w:r>
    </w:p>
    <w:p>
      <w:pPr>
        <w:spacing w:line="360" w:lineRule="auto"/>
        <w:ind w:firstLine="709"/>
        <w:jc w:val="both"/>
      </w:pPr>
      <w:r>
        <w:rPr>
          <w:rFonts w:ascii="Times New Roman" w:hAnsi="Times New Roman"/>
          <w:sz w:val="24"/>
        </w:rPr>
        <w:t>Além da ACP, essa escolha encontra apoio na teoria da burocracia de nível de rua. Lipsky (2019) estudou os trabalhadores do serviço público em contato direto com a população, entre eles os professores, e sustenta: “as decisões dos burocratas de nível de rua, as rotinas que estabelecem e os dispositivos que criam para lidar com incertezas e pressões no trabalho tornam-se efetivamente as políticas públicas que eles realizam” (LIPSKY, 2019, p. 17). Para o autor, a discricionariedade integra o próprio trabalho, uma vez que esses trabalhadores “têm discricionariedade porque suas tarefas demandam legitimamente observação e julgamento sensíveis, que não são redutíveis a formatos programados” (LIPSKY, 2019, p. 59). Articulados, os dois referenciais cumprem funções diferentes na tese. A ACP acompanha a política do texto até a escola e mostra como ela é interpretada e recriada; a teoria de Lipsky aproxima a análise do momento da decisão, tomada diante de regras, demandas e recursos concretos. Com ambos, tratamos os profissionais da educação como sujeitos capazes de atribuir sentido à política e de decidir diante do que encontram, e ouvi-los torna-se o caminho para compreender em que condições a PNED ganha forma na escola.</w:t>
      </w:r>
    </w:p>
    <w:p>
      <w:pPr>
        <w:spacing w:line="360" w:lineRule="auto"/>
        <w:ind w:firstLine="709"/>
        <w:jc w:val="both"/>
      </w:pPr>
      <w:r>
        <w:rPr>
          <w:rFonts w:ascii="Times New Roman" w:hAnsi="Times New Roman"/>
          <w:sz w:val="24"/>
        </w:rPr>
        <w:t xml:space="preserve">O uso de Lipsky (2019), porém, exige que se diga onde sua formulação deixa de cobrir o caso. O autor pensou em serviços públicos de grande porte, em que “o processamento em massa de clientes é a norma” (LIPSKY, 2019, p. 16). Uma escola pequena de Pipa é outra realidade. O profissional conhece cada criança e família e, com frequência, vive no mesmo território. Adiar uma atividade tem custo social imediato e é uma decisão tomada diante de pessoas que ela </w:t>
      </w:r>
      <w:r>
        <w:rPr>
          <w:rFonts w:ascii="Times New Roman" w:hAnsi="Times New Roman"/>
          <w:sz w:val="24"/>
          <w:highlight w:val="yellow"/>
        </w:rPr>
        <w:t>reencontrará fora da escola. Retomamos esse limite, com mais detalhe, na seção 1.4.</w:t>
      </w:r>
    </w:p>
    <w:p>
      <w:pPr>
        <w:spacing w:line="360" w:lineRule="auto"/>
        <w:ind w:firstLine="709"/>
        <w:jc w:val="both"/>
      </w:pPr>
      <w:r>
        <w:rPr>
          <w:rFonts w:ascii="Times New Roman" w:hAnsi="Times New Roman"/>
          <w:sz w:val="24"/>
        </w:rPr>
        <w:t>A categoria mais ampla, no entanto, não apaga as diferenças. Ball, Maguire e Braun (2016, p. 75) observaram, nas escolas estudadas, que “os atores nas escolas são posicionados de forma diferente e assumem posições diversas em relação à política”. Na escola investigada, quem está na regência da turma, na coordenação, na direção ou na Secretaria recebe a política de um lugar diferente, com margem de decisão, acesso a recursos e responsabilidades próprios. Assim, a professora em regência precisa encaixar conteúdos de cultura digital em uma turma de 1º ano com o tempo, os recursos e as condições de que dispõe; a direção decide prioridades e recursos, como a contratação de uma conexão de internet adequada ao uso pedagógico ou a escolha da demanda a ser encaminhada à Secretaria quando os recursos não bastam para todas; e a coordenação pedagógica, entre outras atribuições, negocia a entrada de novas exigências curriculares em uma rotina já tomada por horários, demandas e prioridades. A mesma orientação da PNED pode, desse modo, ganhar sentidos e gerar demandas diferentes em cada posição. Ler a implementação a partir da posição de cada participante evita, ainda, cobrar de cada profissional o que somente o desenho da política poderia garantir.</w:t>
      </w:r>
    </w:p>
    <w:p>
      <w:pPr>
        <w:spacing w:line="360" w:lineRule="auto"/>
        <w:ind w:firstLine="709"/>
        <w:jc w:val="both"/>
      </w:pPr>
      <w:r>
        <w:rPr>
          <w:rFonts w:ascii="Times New Roman" w:hAnsi="Times New Roman"/>
          <w:sz w:val="24"/>
        </w:rPr>
        <w:t>A delimitação do campo em Pipa acrescenta à pesquisa condições próprias do território. O distrito integra um município de pequeno porte, mas apresenta turismo intenso e relações econômicas, sociais e culturais para além dos limites locais. Para compreendê-lo, recorremos a Milton Santos (1999), para quem “o território não é uma categoria de análise, a categoria de análise é o território usado” (SANTOS, 1999, p. 18). O território usado, explica o autor, deve ser visto “como um campo de forças, como o lugar do exercício, de dialéticas e contradições entre o vertical e o horizontal, entre o Estado e o mercado, entre o uso econômico e o uso social dos recursos” (SANTOS, 1999, p. 19). Em Pipa, essa contradição tem expressão concreta, pois a conectividade de que dependem os circuitos turísticos convive, no mesmo distrito, com uma escola pública de poucos recursos digitais.</w:t>
      </w:r>
    </w:p>
    <w:p>
      <w:pPr>
        <w:spacing w:line="360" w:lineRule="auto"/>
        <w:ind w:firstLine="709"/>
        <w:jc w:val="both"/>
      </w:pPr>
      <w:r>
        <w:rPr>
          <w:rFonts w:ascii="Times New Roman" w:hAnsi="Times New Roman"/>
          <w:sz w:val="24"/>
        </w:rPr>
        <w:t>Doreen Massey (2008) acrescenta a essa leitura uma compreensão do lugar. Ao defini-lo, a autora escreve: “Trata-se, simplesmente, de um encontro de trajetórias” (MASSEY, 2008, p. 204). E explica: “o que é especial sobre o lugar é, precisamente, esse acabar juntos, o inevitável desafio de negociar um aqui-e-agora” (MASSEY, 2008, p. 203). Esse encontro acontece também dentro da escola. A expansão do turismo trouxe ao distrito trabalhadores de outras regiões, estrangeiros e novas formas de trabalho, e as crianças atendidas pela escola vêm de famílias de moradores antigos, de migrantes, de estrangeiros e de pessoas ligadas ao turismo, com condições diversas de acesso às tecnologias. Na mesma turma, portanto, reúnem-se experiências digitais desiguais, e a negociação desse “aqui-e-agora” cabe, em grande parte, aos profissionais da educação. A PNED contempla populações vulneráveis, crianças e adolescentes e estudantes com deficiência (BRASIL, 2023a, art. 1º; art. 3º, IV e V), mas não prevê, em sua formulação, as particularidades dessa diversidade territorial.</w:t>
      </w:r>
    </w:p>
    <w:p>
      <w:pPr>
        <w:spacing w:line="360" w:lineRule="auto"/>
        <w:ind w:firstLine="709"/>
        <w:jc w:val="both"/>
      </w:pPr>
      <w:r>
        <w:rPr>
          <w:rFonts w:ascii="Times New Roman" w:hAnsi="Times New Roman"/>
          <w:sz w:val="24"/>
        </w:rPr>
        <w:t>Consideramos, ainda, que a relevância da pesquisa ultrapassa o caso. Um eixo que reúne pensamento computacional, mundo digital, cultura digital, direitos digitais e tecnologia assistiva amplia o que se cobra das redes e das escolas, e uma escola concreta mostra o que essas orientações exigem do trabalho cotidiano. A pesquisa contribui, também, para o debate sobre desigualdade. Castells (2003, p. 8), ao tratar da internet como base das redes da era da informação, afirma: “De fato, ser excluído dessas redes é sofrer uma das formas mais danosas de exclusão em nossa economia e em nossa cultura”. Se a escola pública é, para parte das crianças, a principal via de acesso orientado a essas redes, o que ela consegue oferecer diz respeito também à desigualdade.</w:t>
      </w:r>
    </w:p>
    <w:p>
      <w:pPr>
        <w:spacing w:line="360" w:lineRule="auto"/>
        <w:ind w:firstLine="709"/>
        <w:jc w:val="both"/>
      </w:pPr>
      <w:r>
        <w:rPr>
          <w:rFonts w:ascii="Times New Roman" w:hAnsi="Times New Roman"/>
          <w:sz w:val="24"/>
        </w:rPr>
        <w:t xml:space="preserve">Castells (2013) e Bauman (1999) discutem a aceleração das transformações da cultura contemporânea. Desse debate, interessa-nos o que diz respeito à escola: novas demandas ligadas às tecnologias e à cultura digital chegam com rapidez, enquanto a jornada, os momentos de planejamento e os horários seguem uma organização definida antes delas. O problema está, então, no tempo de que os profissionais dispõem para incorporar essas exigências a uma rotina já estabelecida. </w:t>
      </w:r>
      <w:r>
        <w:rPr>
          <w:rFonts w:ascii="Times New Roman" w:hAnsi="Times New Roman"/>
          <w:sz w:val="24"/>
          <w:highlight w:val="yellow"/>
        </w:rPr>
        <w:t>Esse tempo, como mostramos na seção 1.2, já estava ocupado antes da PNED.</w:t>
      </w:r>
    </w:p>
    <w:p>
      <w:pPr>
        <w:spacing w:line="360" w:lineRule="auto"/>
        <w:ind w:firstLine="709"/>
        <w:jc w:val="both"/>
      </w:pPr>
      <w:r>
        <w:rPr>
          <w:rFonts w:ascii="Times New Roman" w:hAnsi="Times New Roman"/>
          <w:sz w:val="24"/>
        </w:rPr>
        <w:t xml:space="preserve">A posição da pesquisadora também integra esse quadro. Freire (2019, p. 96) afirma: “Neutra, ‘indiferente’ a qualquer destas hipóteses, a da reprodução da ideologia dominante ou a de sua contestação, a educação jamais foi, é, ou pode ser”. Esta pesquisa, dedicada à educação, assume a mesma condição e não se pretende </w:t>
      </w:r>
      <w:r>
        <w:rPr>
          <w:rFonts w:ascii="Times New Roman" w:hAnsi="Times New Roman"/>
          <w:sz w:val="24"/>
          <w:highlight w:val="yellow"/>
        </w:rPr>
        <w:t>neutra</w:t>
      </w:r>
      <w:r>
        <w:rPr>
          <w:rFonts w:ascii="Times New Roman" w:hAnsi="Times New Roman"/>
          <w:sz w:val="24"/>
        </w:rPr>
        <w:t>. A tese dá continuidade à pesquisa de mestrado, uma pesquisa-ação realizada durante a pandemia com uma turma de 2º ano da mesma escola, e a quase vinte anos de convivência com o território de Pipa, onde a pesquisadora residiu, e com a administração pública municipal, na qual atua como profissional técnica de políticas públicas. Essa trajetória trouxe conhecimento sobre a dinâmica local, sobre os caminhos institucionais pelos quais as políticas chegam às escolas e sobre o modo como a rede nomeia e compreende esses processos. A proximidade faz parte das condições da investigação e exige cuidado para o saber prévio da pesquisadora não se sobrepor ao que o campo</w:t>
      </w:r>
      <w:r>
        <w:rPr>
          <w:rFonts w:ascii="Times New Roman" w:hAnsi="Times New Roman"/>
          <w:sz w:val="24"/>
          <w:highlight w:val="yellow"/>
        </w:rPr>
        <w:t xml:space="preserve"> mostrar</w:t>
      </w:r>
      <w:r>
        <w:rPr>
          <w:rFonts w:ascii="Times New Roman" w:hAnsi="Times New Roman"/>
          <w:sz w:val="24"/>
        </w:rPr>
        <w:t>. Além disso, como o município é um dos entes federados aos quais a lei distribui a responsabilidade dos meios, a pesquisadora não olha o problema de fora, e as relações institucionais no território pedem cuidado redobrado para essa posição não limitar a liberdade dos participantes em suas narrativas.</w:t>
      </w:r>
    </w:p>
    <w:p>
      <w:pPr>
        <w:spacing w:line="360" w:lineRule="auto" w:before="240" w:after="240"/>
      </w:pPr>
      <w:r>
        <w:rPr>
          <w:rFonts w:ascii="Times New Roman" w:hAnsi="Times New Roman"/>
          <w:b/>
          <w:sz w:val="24"/>
        </w:rPr>
        <w:t>1.2 PROBLEMATIZAÇÃO</w:t>
      </w:r>
    </w:p>
    <w:p>
      <w:pPr>
        <w:spacing w:line="360" w:lineRule="auto"/>
        <w:ind w:firstLine="709"/>
        <w:jc w:val="both"/>
      </w:pPr>
      <w:r>
        <w:rPr>
          <w:rFonts w:ascii="Times New Roman" w:hAnsi="Times New Roman"/>
          <w:sz w:val="24"/>
        </w:rPr>
        <w:t>A distância entre o direito declarado e os meios garantidos aparece já no desenho da lei. A PNED reconhece a educação digital como direito e chega a inscrever na LDB, entre os deveres do Estado, a garantia de conectividade das escolas públicas (BRASIL, 2023a, art. 7º). Ao mesmo tempo, define-se como instância de articulação, sem substituir as políticas de infraestrutura digital e conectividade já existentes (BRASIL, 2023a, art. 1º, § 3º). Quanto ao financiamento, indica dotações orçamentárias dos entes federados, doações e os fundos setoriais das telecomunicações, o Fust e o Funttel, sem criar fundo próprio (BRASIL, 2023a, art. 11), e determina o desenvolvimento do eixo de inclusão digital, no qual se encontra a conectividade das escolas, “dentro dos limites orçamentários e no âmbito de competência de cada órgão governamental envolvido” (BRASIL, 2023a, art. 2º). A lei declara, assim, o direito e o dever e deixa a chegada dos meios à escola na dependência da capacidade de cada ente. No Capítulo 5, onde acompanhamos a formulação dessa escolha normativa, denominamos vazio material o resultado desse desenho quando a rede não consegue mobilizar os meios.</w:t>
      </w:r>
    </w:p>
    <w:p>
      <w:pPr>
        <w:spacing w:line="360" w:lineRule="auto"/>
        <w:ind w:firstLine="709"/>
        <w:jc w:val="both"/>
      </w:pPr>
      <w:r>
        <w:rPr>
          <w:rFonts w:ascii="Times New Roman" w:hAnsi="Times New Roman"/>
          <w:sz w:val="24"/>
        </w:rPr>
        <w:t>O mesmo texto legal reúne, como vimos, conceitos de inclinação técnica e conceitos de inclinação formativa e cidadã, sem definir como a escola deve articulá-los. Pela perspectiva da ACP, essa abertura também transfere responsabilidade, pois as questões deixadas em aberto na escala nacional ficam para ser resolvidas na escola, no dia a dia. Ball, Maguire e Braun ajudam a compreender por que isso acontece:</w:t>
      </w:r>
    </w:p>
    <w:p>
      <w:pPr>
        <w:spacing w:line="240" w:lineRule="auto" w:after="240"/>
        <w:ind w:left="2268"/>
        <w:jc w:val="both"/>
      </w:pPr>
      <w:r>
        <w:rPr>
          <w:rFonts w:ascii="Times New Roman" w:hAnsi="Times New Roman"/>
          <w:sz w:val="20"/>
        </w:rPr>
        <w:t>As políticas raramente dizem-lhe exatamente o que fazer, elas raramente ditam ou determinam a prática, mas algumas mais do que outras estreitam a gama de respostas criativas. Isso é em parte porque os textos de políticas são tipicamente escritos em relação à melhor de todas as escolas possíveis, escolas que só existem na imaginação febril de políticos, funcionários públicos e conselheiros e em relação a contextos fantásticos. Esses textos não podem simplesmente ser implementados! Eles têm de ser traduzidos a partir do texto para a ação – colocados “em” prática – em relação à história e ao contexto, com os recursos disponíveis. (BALL; MAGUIRE; BRAUN, 2016, p. 14)</w:t>
      </w:r>
    </w:p>
    <w:p>
      <w:pPr>
        <w:spacing w:line="360" w:lineRule="auto"/>
        <w:ind w:firstLine="709"/>
        <w:jc w:val="both"/>
      </w:pPr>
      <w:r>
        <w:rPr>
          <w:rFonts w:ascii="Times New Roman" w:hAnsi="Times New Roman"/>
          <w:sz w:val="24"/>
        </w:rPr>
        <w:t>A última expressão da passagem condensa o problema desta tese. A tradução da política em ação se faz “com os recursos disponíveis”, e a PNED, escrita como se toda escola tivesse conexão, equipamentos e formação, chega a uma escola onde parte desses recursos falta. Somos a favor da educação digital na escola e, justamente por isso, nos incomodam as condições de atuação dos profissionais, uma vez que formação específica, infraestrutura de rede e tempo de planejamento não são garantidos pela norma e acabam sendo construídos no contexto da prática.</w:t>
      </w:r>
    </w:p>
    <w:p>
      <w:pPr>
        <w:spacing w:line="360" w:lineRule="auto"/>
        <w:ind w:firstLine="709"/>
        <w:jc w:val="both"/>
      </w:pPr>
      <w:r>
        <w:rPr>
          <w:rFonts w:ascii="Times New Roman" w:hAnsi="Times New Roman"/>
          <w:sz w:val="24"/>
        </w:rPr>
        <w:t xml:space="preserve">Esse desenho tende a pesar mais em municípios de pequeno porte, como </w:t>
      </w:r>
      <w:r>
        <w:rPr>
          <w:rFonts w:ascii="Times New Roman" w:hAnsi="Times New Roman"/>
          <w:sz w:val="24"/>
          <w:highlight w:val="yellow"/>
        </w:rPr>
        <w:t>aquele em que</w:t>
      </w:r>
      <w:r>
        <w:rPr>
          <w:rFonts w:ascii="Times New Roman" w:hAnsi="Times New Roman"/>
          <w:sz w:val="24"/>
        </w:rPr>
        <w:t xml:space="preserve"> a pesquisa se desenvolve. A situação poderia ser tratada como simples falha de gestão local. Recusamos essa leitura, pois ela retira de cena o desenho da lei e invisibiliza o trabalho realizado cotidianamente pelos profissionais diante das lacunas da política. Ball (2011, p. 36) descreve esse deslocamento ao criticar pesquisas presas a “táticas de formuladores de políticas não reflexivas, ‘baseadas na culpabilização’, nas quais as políticas são sempre soluções e nunca parte do problema. O problema está ‘na’ escola ou ‘no’ professor, mas ‘nunca nas políticas’”. O autor esclarece, na mesma página: “Não estou pretendendo ‘desculpar a má prática’” (BALL, 2011, p. 36). Esta pesquisa assume a mesma cautela. </w:t>
      </w:r>
      <w:r>
        <w:rPr>
          <w:rFonts w:ascii="Times New Roman" w:hAnsi="Times New Roman"/>
          <w:sz w:val="24"/>
          <w:highlight w:val="yellow"/>
        </w:rPr>
        <w:t>Enfatizar o</w:t>
      </w:r>
      <w:r>
        <w:rPr>
          <w:rFonts w:ascii="Times New Roman" w:hAnsi="Times New Roman"/>
          <w:sz w:val="24"/>
        </w:rPr>
        <w:t xml:space="preserve"> peso do desenho da política não isenta a gestão local, mas permite situar cada responsabilidade em sua escala.</w:t>
      </w:r>
    </w:p>
    <w:p>
      <w:pPr>
        <w:spacing w:line="360" w:lineRule="auto"/>
        <w:ind w:firstLine="709"/>
        <w:jc w:val="both"/>
      </w:pPr>
      <w:r>
        <w:rPr>
          <w:rFonts w:ascii="Times New Roman" w:hAnsi="Times New Roman"/>
          <w:sz w:val="24"/>
        </w:rPr>
        <w:t xml:space="preserve">Os indicadores nacionais ajudam </w:t>
      </w:r>
      <w:r>
        <w:rPr>
          <w:rFonts w:ascii="Times New Roman" w:hAnsi="Times New Roman"/>
          <w:sz w:val="24"/>
          <w:highlight w:val="yellow"/>
        </w:rPr>
        <w:t>a dimensionar essa</w:t>
      </w:r>
      <w:r>
        <w:rPr>
          <w:rFonts w:ascii="Times New Roman" w:hAnsi="Times New Roman"/>
          <w:sz w:val="24"/>
        </w:rPr>
        <w:t xml:space="preserve"> distância. De acordo com a TIC Educação 2024, pesquisa do Comitê Gestor da Internet no Brasil (CGI.BR, 2025a), 96% das escolas brasileiras possuíam acesso à Internet, percentual de 94% na rede municipal. Em relação aos computadores disponíveis para os alunos, a proporção de escolas passou de 60%, em 2020, para 59%, em 2024 e, nas escolas rurais, caiu de 36% para 28%. No mesmo ano, a TIC Domicílios 2024 registrou acesso à Internet em 83% dos domicílios brasileiros (CGI.BR, 2025b). Os dados mostram a chegada da conexão às escolas sem crescimento equivalente dos equipamentos para os estudantes e, nas escolas rurais, uma diferença ainda maior, pois, em 2024, menos de três em cada dez dispunham de computadores para uso dos alunos. Ter Internet na escola, portanto, não basta para a conexão se tornar experiência educativa, uma vez que falta, em muitas escolas, o meio de levar o digital ao trabalho pedagógico.</w:t>
      </w:r>
    </w:p>
    <w:p>
      <w:pPr>
        <w:spacing w:line="360" w:lineRule="auto"/>
        <w:ind w:firstLine="709"/>
        <w:jc w:val="both"/>
      </w:pPr>
      <w:r>
        <w:rPr>
          <w:rFonts w:ascii="Times New Roman" w:hAnsi="Times New Roman"/>
          <w:sz w:val="24"/>
        </w:rPr>
        <w:t xml:space="preserve">O problema ganha, ainda, uma dimensão temporal com a Resolução CNE/CEB nº 2/2025, segundo a qual os novos currículos, acompanhados de plano de formação docente, deveriam ser elaborados ao longo de 2025, com implementação obrigatória a partir de 2026, admitida, nos anos iniciais do Ensino Fundamental, a adoção concomitante dessas medidas (BRASIL, 2025a, art. 36). A PNED, instituída em 2023, chega assim ao momento em que suas orientações incidem sobre a organização curricular das escolas. A investigação acontece nesse momento, quando o escrito na norma encontra </w:t>
      </w:r>
      <w:r>
        <w:rPr>
          <w:rFonts w:ascii="Times New Roman" w:hAnsi="Times New Roman"/>
          <w:sz w:val="24"/>
          <w:highlight w:val="yellow"/>
        </w:rPr>
        <w:t>território</w:t>
      </w:r>
      <w:r>
        <w:rPr>
          <w:rFonts w:ascii="Times New Roman" w:hAnsi="Times New Roman"/>
          <w:sz w:val="24"/>
        </w:rPr>
        <w:t>, tempos, recursos, responsabilidades e formas de organização já existentes, e busca compreender como os profissionais da educação lidam com uma exigência cujas condições de cumprimento ainda estão sendo construídas.</w:t>
      </w:r>
    </w:p>
    <w:p>
      <w:pPr>
        <w:spacing w:line="360" w:lineRule="auto"/>
        <w:ind w:firstLine="709"/>
        <w:jc w:val="both"/>
      </w:pPr>
      <w:r>
        <w:rPr>
          <w:rFonts w:ascii="Times New Roman" w:hAnsi="Times New Roman"/>
          <w:sz w:val="24"/>
        </w:rPr>
        <w:t xml:space="preserve">Entre essas condições, o tempo ocupa lugar central, e por isso precisamos explicitar o sentido de condições de trabalho, expressão presente em toda a tese e sujeita ao risco de se tornar um nome genérico para a precariedade. Adotamos o sentido de Oliveira e Vieira (2012, p. 157 apud QUEIROZ; PAIVA, 2014, p. 254), para quem as condições de trabalho docente “se referem à forma como está organizado o processo de trabalho nas unidades educacionais” e compreendem “a divisão das tarefas e responsabilidades, a jornada de trabalho, os recursos materiais disponíveis para o desempenho das atividades, os tempos e os espaços para a realização do trabalho”, entre outros aspectos. Dessas dimensões, o tempo recebe atenção especial, porque nele a entrada da cultura digital na escola se torna mais visível. </w:t>
      </w:r>
      <w:r>
        <w:rPr>
          <w:rFonts w:ascii="Times New Roman" w:hAnsi="Times New Roman"/>
          <w:sz w:val="24"/>
        </w:rPr>
        <w:t>A relação entre a velocidade das transformações da cultura contemporânea e o tempo escolar recebe tratamento teórico no Capítulo 3; nesta introdução, interessa-nos o tempo concreto do trabalho.</w:t>
      </w:r>
    </w:p>
    <w:p>
      <w:pPr>
        <w:spacing w:line="360" w:lineRule="auto"/>
        <w:ind w:firstLine="709"/>
        <w:jc w:val="both"/>
      </w:pPr>
      <w:r>
        <w:rPr>
          <w:rFonts w:ascii="Times New Roman" w:hAnsi="Times New Roman"/>
          <w:sz w:val="24"/>
        </w:rPr>
        <w:t>Esse tempo já estava ocupado antes da PNED. Queiroz e Paiva (2014</w:t>
      </w:r>
      <w:r>
        <w:rPr>
          <w:rFonts w:ascii="Times New Roman" w:hAnsi="Times New Roman"/>
          <w:sz w:val="24"/>
        </w:rPr>
        <w:t xml:space="preserve">) lembram que os profissionais da escola </w:t>
      </w:r>
      <w:r>
        <w:rPr>
          <w:rFonts w:ascii="Times New Roman" w:hAnsi="Times New Roman"/>
          <w:sz w:val="24"/>
          <w:highlight w:val="yellow"/>
        </w:rPr>
        <w:t>exercem várias funções</w:t>
      </w:r>
      <w:r>
        <w:rPr>
          <w:rFonts w:ascii="Times New Roman" w:hAnsi="Times New Roman"/>
          <w:sz w:val="24"/>
        </w:rPr>
        <w:t>, da gestão à docência, ao planejamento e à avaliação</w:t>
      </w:r>
      <w:r>
        <w:rPr>
          <w:rFonts w:ascii="Times New Roman" w:hAnsi="Times New Roman"/>
          <w:sz w:val="24"/>
          <w:highlight w:val="yellow"/>
        </w:rPr>
        <w:t>, e que o trabalho docente se estende à casa, “quando planeja as aulas, corrige trabalhos, preenche cadernetas” (QUEIROZ; PAIVA, 2014, p. 255)</w:t>
      </w:r>
      <w:r>
        <w:rPr>
          <w:rFonts w:ascii="Times New Roman" w:hAnsi="Times New Roman"/>
          <w:sz w:val="24"/>
        </w:rPr>
        <w:t xml:space="preserve">. As autoras observam, também, que as exigências burocráticas internas e as vindas dos demais entes dos sistemas de ensino acabam “colocando os profissionais em condição de exploração, de intensificação e ampliação da jornada contratada para exercício da docência” (QUEIROZ; PAIVA, 2014, p. 256). Recorrem, para isso, à pesquisa Trabalho docente na Educação Básica no Brasil, realizada entre 2009 e 2010, cujo levantamento alcançou cinco municípios do Rio Grande do Norte e registrou que 81,1% dos entrevistados costumavam, sempre ou frequentemente, “levar alguma atividade do seu trabalho para realizar em casa” (QUEIROZ; PAIVA, 2014, p. 256-257). </w:t>
      </w:r>
      <w:r>
        <w:rPr>
          <w:rFonts w:ascii="Times New Roman" w:hAnsi="Times New Roman"/>
          <w:sz w:val="24"/>
        </w:rPr>
        <w:t>O dado pertence àquele período e antecede a PNED; porém, serve para situar o cenário no qual novas tarefas chegam à escola, sem medir a situação atual.</w:t>
      </w:r>
    </w:p>
    <w:p>
      <w:pPr>
        <w:spacing w:line="360" w:lineRule="auto"/>
        <w:ind w:firstLine="709"/>
        <w:jc w:val="both"/>
      </w:pPr>
      <w:r>
        <w:rPr>
          <w:rFonts w:ascii="Times New Roman" w:hAnsi="Times New Roman"/>
          <w:sz w:val="24"/>
        </w:rPr>
        <w:t xml:space="preserve">A situação tampouco é exclusiva </w:t>
      </w:r>
      <w:r>
        <w:rPr>
          <w:rFonts w:ascii="Times New Roman" w:hAnsi="Times New Roman"/>
          <w:sz w:val="24"/>
          <w:highlight w:val="yellow"/>
        </w:rPr>
        <w:t>do</w:t>
      </w:r>
      <w:r>
        <w:rPr>
          <w:rFonts w:ascii="Times New Roman" w:hAnsi="Times New Roman"/>
          <w:sz w:val="24"/>
        </w:rPr>
        <w:t xml:space="preserve"> Brasil. Lipsky (2019) reproduz a queixa de um professor de Nova Iorque sobre a redução de pessoal, o aumento de responsabilidades e a redução dos recursos, na qual o professor menciona “a falta de suprimentos e equipamentos e muito mais (tudo isso com uma equipe reduzida), para não mencionar o volume de trabalho que levamos para casa conosco” (LIPSKY, 2019, p. 330). Como vimos na seção 1.1, as rotinas criadas pelos trabalhadores para lidar com as pressões do trabalho tornam-se, para o autor, a própria política realizada, e </w:t>
      </w:r>
      <w:r>
        <w:rPr>
          <w:rFonts w:ascii="Times New Roman" w:hAnsi="Times New Roman"/>
          <w:sz w:val="24"/>
          <w:highlight w:val="yellow"/>
        </w:rPr>
        <w:t xml:space="preserve">o autor </w:t>
      </w:r>
      <w:r>
        <w:rPr>
          <w:rFonts w:ascii="Times New Roman" w:hAnsi="Times New Roman"/>
          <w:sz w:val="24"/>
        </w:rPr>
        <w:t>adverte: “Essas práticas e orientações de trabalho são mantidas, mesmo que contribuam para a distorção do serviço ideal” (LIPSKY, 2019, p. 21). Em Pipa, onde algumas carências chegam, em determinados momentos, a ser ausência de recursos e de meios de ação, essas escolhas ganham outro peso. A implementação da PNED passa, portanto, pelas decisões cotidianas sobre prioridades e adaptações, sobre o que os profissionais procuram suprir com recursos próprios e sobre o que permanece sem resposta.</w:t>
      </w:r>
    </w:p>
    <w:p>
      <w:pPr>
        <w:spacing w:line="360" w:lineRule="auto"/>
        <w:ind w:firstLine="709"/>
        <w:jc w:val="both"/>
      </w:pPr>
      <w:r>
        <w:rPr>
          <w:rFonts w:ascii="Times New Roman" w:hAnsi="Times New Roman"/>
          <w:sz w:val="24"/>
        </w:rPr>
        <w:t xml:space="preserve">A Revisão Sistemática da Literatura (RSL), apresentada no Capítulo 2, buscou na produção científica elementos para esse problema, a partir da seguinte questão: o que a produção científica nacional e internacional evidencia sobre a implementação de políticas públicas de educação digital nos anos iniciais do Ensino Fundamental? A resposta é parcial, pois ainda é reduzida a produção sobre essa etapa. O corpus final reúne nove estudos e, dos vinte e seis trabalhos excluídos após a leitura integral, sete não apresentavam dados capazes de identificar a etapa. Os estudos reunidos indicam que a implementação dessas políticas depende da articulação entre recursos disponíveis, condições institucionais e trabalho dos profissionais da educação, os quais participam de sua interpretação diante das condições do cotidiano escolar. Apenas um estudo, porém, delimita explicitamente o ciclo de alfabetização, e nenhum examina empiricamente o eixo Educação Digital Escolar da PNED, o que se explica, em parte, pela novidade da norma, cuja implementação curricular só se tornou obrigatória em 2026, </w:t>
      </w:r>
      <w:r>
        <w:rPr>
          <w:rFonts w:ascii="Times New Roman" w:hAnsi="Times New Roman"/>
          <w:sz w:val="24"/>
          <w:highlight w:val="yellow"/>
        </w:rPr>
        <w:t>embora a lei seja de</w:t>
      </w:r>
      <w:r>
        <w:rPr>
          <w:rFonts w:ascii="Times New Roman" w:hAnsi="Times New Roman"/>
          <w:sz w:val="24"/>
        </w:rPr>
        <w:t xml:space="preserve"> 2023. O corpus também não reúne estudos sobre redes municipais de pequeno porte com características territoriais semelhantes às de Pipa-RN. Esses resultados valem para o recorte e os critérios adotados e não provam a inexistência de pesquisas desse tipo fora deles.</w:t>
      </w:r>
    </w:p>
    <w:p>
      <w:pPr>
        <w:spacing w:line="360" w:lineRule="auto"/>
        <w:ind w:firstLine="709"/>
        <w:jc w:val="both"/>
      </w:pPr>
      <w:r>
        <w:rPr>
          <w:rFonts w:ascii="Times New Roman" w:hAnsi="Times New Roman"/>
          <w:sz w:val="24"/>
        </w:rPr>
        <w:t xml:space="preserve">O desenho da lei, </w:t>
      </w:r>
      <w:r>
        <w:rPr>
          <w:rFonts w:ascii="Times New Roman" w:hAnsi="Times New Roman"/>
          <w:sz w:val="24"/>
          <w:highlight w:val="yellow"/>
        </w:rPr>
        <w:t>a capacidade da rede, o tempo de trabalho, as</w:t>
      </w:r>
      <w:r>
        <w:rPr>
          <w:rFonts w:ascii="Times New Roman" w:hAnsi="Times New Roman"/>
          <w:sz w:val="24"/>
        </w:rPr>
        <w:t xml:space="preserve"> desigualdades do território, discutidas na seção 1.1, e</w:t>
      </w:r>
      <w:r>
        <w:rPr>
          <w:rFonts w:ascii="Times New Roman" w:hAnsi="Times New Roman"/>
          <w:sz w:val="24"/>
          <w:highlight w:val="yellow"/>
        </w:rPr>
        <w:t xml:space="preserve"> a</w:t>
      </w:r>
      <w:r>
        <w:rPr>
          <w:rFonts w:ascii="Times New Roman" w:hAnsi="Times New Roman"/>
          <w:sz w:val="24"/>
        </w:rPr>
        <w:t xml:space="preserve"> lacuna da literatura convergem, assim, para o trabalho de mediação realizado pelos profissionais em suas diferentes posições, e nossa análise se concentra nesse trabalho, feito de interpretações, traduções, escolhas e limites. Supomos que a PNED ganhe sentidos diversos conforme circule entre os professores regentes, a coordenação pedagógica, a direção escolar e a Secretaria Municipal de Educação (SME) e encontre as condições do território. Desse modo, delineamos a questão norteadora da pesquisa: como ocorre a implementação do eixo Educação Digital Escolar da PNED nos anos iniciais do Ensino Fundamental, considerando os processos de interpretação, tradução e recontextualização construídos pelos profissionais da educação no contexto da prática?</w:t>
      </w:r>
    </w:p>
    <w:p>
      <w:pPr>
        <w:spacing w:line="360" w:lineRule="auto" w:before="240" w:after="240"/>
      </w:pPr>
      <w:r>
        <w:rPr>
          <w:rFonts w:ascii="Times New Roman" w:hAnsi="Times New Roman"/>
          <w:b/>
          <w:sz w:val="24"/>
        </w:rPr>
        <w:t>1.3 OBJETIVOS</w:t>
      </w:r>
    </w:p>
    <w:p>
      <w:pPr>
        <w:spacing w:line="360" w:lineRule="auto"/>
        <w:ind w:firstLine="709"/>
        <w:jc w:val="both"/>
      </w:pPr>
      <w:r>
        <w:rPr>
          <w:rFonts w:ascii="Times New Roman" w:hAnsi="Times New Roman"/>
          <w:sz w:val="24"/>
        </w:rPr>
        <w:t>A questão norteadora desdobra-se no objetivo geral e em três objetivos específicos, dispostos na ordem da análise: o que a política promete e com que meios, as condições que a recebem e o que os profissionais fazem com a distância entre uma coisa e outra.</w:t>
      </w:r>
    </w:p>
    <w:p>
      <w:pPr>
        <w:spacing w:line="360" w:lineRule="auto" w:before="240" w:after="240"/>
      </w:pPr>
      <w:r>
        <w:rPr>
          <w:rFonts w:ascii="Times New Roman" w:hAnsi="Times New Roman"/>
          <w:b/>
          <w:sz w:val="24"/>
        </w:rPr>
        <w:t>1.3.1 Objetivo geral</w:t>
      </w:r>
    </w:p>
    <w:p>
      <w:pPr>
        <w:spacing w:line="360" w:lineRule="auto"/>
        <w:ind w:firstLine="709"/>
        <w:jc w:val="both"/>
      </w:pPr>
      <w:r>
        <w:rPr>
          <w:rFonts w:ascii="Times New Roman" w:hAnsi="Times New Roman"/>
          <w:sz w:val="24"/>
        </w:rPr>
        <w:t>Analisar a implementação do eixo Educação Digital Escolar da Política Nacional de Educação Digital (PNED) nos anos iniciais do Ensino Fundamental, considerando as relações entre a normativa, as condições institucionais e territoriais no contexto da prática, bem como os processos de interpretação, tradução e recontextualização construídos pelos profissionais da educação.</w:t>
      </w:r>
    </w:p>
    <w:p>
      <w:pPr>
        <w:spacing w:line="360" w:lineRule="auto" w:before="240" w:after="240"/>
      </w:pPr>
      <w:r>
        <w:rPr>
          <w:rFonts w:ascii="Times New Roman" w:hAnsi="Times New Roman"/>
          <w:b/>
          <w:sz w:val="24"/>
        </w:rPr>
        <w:t>1.3.2 Objetivos específicos</w:t>
      </w:r>
    </w:p>
    <w:p>
      <w:pPr>
        <w:spacing w:line="360" w:lineRule="auto"/>
        <w:ind w:firstLine="709"/>
        <w:jc w:val="both"/>
      </w:pPr>
      <w:r>
        <w:rPr>
          <w:rFonts w:ascii="Times New Roman" w:hAnsi="Times New Roman"/>
          <w:sz w:val="24"/>
        </w:rPr>
        <w:t>a) Examinar a constituição do eixo Educação Digital Escolar da PNED nos contextos de influência e de produção do texto da política, considerando as agendas internacionais, a trajetória brasileira das políticas de tecnologias digitais na educação e os princípios, diretrizes e sentidos atribuídos ao texto legal;</w:t>
      </w:r>
    </w:p>
    <w:p>
      <w:pPr>
        <w:spacing w:line="360" w:lineRule="auto"/>
        <w:ind w:firstLine="709"/>
        <w:jc w:val="both"/>
      </w:pPr>
      <w:r>
        <w:rPr>
          <w:rFonts w:ascii="Times New Roman" w:hAnsi="Times New Roman"/>
          <w:sz w:val="24"/>
        </w:rPr>
        <w:t>b) Caracterizar o território de Pipa e a escola investigada como contexto da prática, tomando as transformações históricas e socioeconômicas do distrito e as condições institucionais e materiais do cotidiano escolar como dimensões analíticas da implementação do eixo;</w:t>
      </w:r>
    </w:p>
    <w:p>
      <w:pPr>
        <w:spacing w:line="360" w:lineRule="auto"/>
        <w:ind w:firstLine="709"/>
        <w:jc w:val="both"/>
      </w:pPr>
      <w:r>
        <w:rPr>
          <w:rFonts w:ascii="Times New Roman" w:hAnsi="Times New Roman"/>
          <w:sz w:val="24"/>
        </w:rPr>
        <w:t>c) Compreender como os profissionais da educação, em diferentes posições institucionais, interpretam, traduzem e recontextualizam as orientações do eixo Educação Digital Escolar, que sentidos atribuem à educação digital e como exercem sua margem de decisão diante das condições que a política anuncia sem garantir que cheguem à escola investigada.</w:t>
      </w:r>
    </w:p>
    <w:p>
      <w:pPr>
        <w:spacing w:line="360" w:lineRule="auto"/>
        <w:ind w:firstLine="709"/>
        <w:jc w:val="both"/>
      </w:pPr>
      <w:r>
        <w:rPr>
          <w:rFonts w:ascii="Times New Roman" w:hAnsi="Times New Roman"/>
          <w:sz w:val="24"/>
        </w:rPr>
        <w:t>Para alcançar esses objetivos, adotamos abordagem qualitativa, de natureza interpretativa, e organizamos a investigação como estudo de caso único. Yin (2001, p. 32) define o estudo de caso como “uma investigação empírica que investiga um fenômeno contemporâneo dentro de seu contexto da vida real, especialmente quando os limites entre o fenômeno e o contexto não estão claramente definidos”. É a situação desta pesquisa, na qual infraestrutura, formação, cultura escolar e desigualdades do território condicionam a política e fazem parte dela ao mesmo tempo. O caso não pretende representar outras escolas; seu propósito é compreender a fundo uma realidade singular. A produção dos dados recorre a quatro instrumentos: a) análise documental das normas da política e dos documentos da rede e da escola; b) questionário aplicado aos participantes; c) entrevista semiestruturada; e d) registro iconográfico das condições materiais e da infraestrutura da escola. Diferentemente do mestrado, esta pesquisa não observa aulas, e as práticas chegam à análise pelas narrativas dos participantes, enquanto as condições materiais chegam pelos documentos e pelos registros iconográficos. O registro iconográfico e a consulta ao acervo histórico já foram realizados e sustentam o Capítulo 6; a análise documental ainda será feita. O questionário e as entrevistas</w:t>
      </w:r>
      <w:r>
        <w:rPr>
          <w:rFonts w:ascii="Times New Roman" w:hAnsi="Times New Roman"/>
          <w:sz w:val="24"/>
          <w:highlight w:val="yellow"/>
        </w:rPr>
        <w:t xml:space="preserve"> serão aplicados em seguida</w:t>
      </w:r>
      <w:r>
        <w:rPr>
          <w:rFonts w:ascii="Times New Roman" w:hAnsi="Times New Roman"/>
          <w:sz w:val="24"/>
        </w:rPr>
        <w:t>, com instrumentos ajustados para o exame da categoria proposta.</w:t>
      </w:r>
    </w:p>
    <w:p>
      <w:pPr>
        <w:spacing w:line="360" w:lineRule="auto"/>
        <w:ind w:firstLine="709"/>
        <w:jc w:val="both"/>
      </w:pPr>
      <w:r>
        <w:rPr>
          <w:rFonts w:ascii="Times New Roman" w:hAnsi="Times New Roman"/>
          <w:sz w:val="24"/>
        </w:rPr>
        <w:t>Participam doze profissionais da educação: seis atuantes nas turmas de 1º e 2º anos, quatro da coordenação pedagógica, um da direção escolar e um da SME. As narrativas serão tratadas pela análise temática reflexiva (BRAUN; CLARKE, 2006, 2019), na qual os temas são construções produzidas no encontro entre os dados, o referencial teórico e a reflexividade de quem analisa. Nas palavras das autoras, “na análise temática reflexiva, a subjetividade não é vista como um viés a ser controlado ou eliminado, mas sim como um recurso analítico central e ativo para a produção de conhecimento” (BRAUN; CLARKE, 2019, p. 594, tradução nossa). A proximidade da pesquisadora com o território, discutida na seção 1.1, entra na análise por esse caminho, como elemento registrado e examinado ao longo do processo.</w:t>
      </w:r>
    </w:p>
    <w:p>
      <w:pPr>
        <w:spacing w:line="360" w:lineRule="auto" w:before="240" w:after="240"/>
      </w:pPr>
      <w:r>
        <w:rPr>
          <w:rFonts w:ascii="Times New Roman" w:hAnsi="Times New Roman"/>
          <w:b/>
          <w:sz w:val="24"/>
        </w:rPr>
        <w:t>1.4 CONTRIBUIÇÃO ESPERADA E DELIMITAÇÕES DA PESQUISA</w:t>
      </w:r>
    </w:p>
    <w:p>
      <w:pPr>
        <w:spacing w:line="360" w:lineRule="auto"/>
        <w:ind w:firstLine="709"/>
        <w:jc w:val="both"/>
      </w:pPr>
      <w:r>
        <w:rPr>
          <w:rFonts w:ascii="Times New Roman" w:hAnsi="Times New Roman"/>
          <w:sz w:val="24"/>
        </w:rPr>
        <w:t xml:space="preserve">A contribuição desta tese parte de um limite encontrado nos referenciais mobilizados. </w:t>
      </w:r>
      <w:r>
        <w:rPr>
          <w:rFonts w:ascii="Times New Roman" w:hAnsi="Times New Roman"/>
          <w:sz w:val="24"/>
          <w:highlight w:val="yellow"/>
        </w:rPr>
        <w:t xml:space="preserve">Como vimos na seção 1.1, </w:t>
      </w:r>
      <w:r>
        <w:rPr>
          <w:rFonts w:ascii="Times New Roman" w:hAnsi="Times New Roman"/>
          <w:sz w:val="24"/>
        </w:rPr>
        <w:t xml:space="preserve">Lipsky (2019) construiu sua teoria observando serviços </w:t>
      </w:r>
      <w:r>
        <w:rPr>
          <w:rFonts w:ascii="Times New Roman" w:hAnsi="Times New Roman"/>
          <w:sz w:val="24"/>
          <w:highlight w:val="yellow"/>
        </w:rPr>
        <w:t>de grande porte, nos quais o atendimento em massa é a regra e</w:t>
      </w:r>
      <w:r>
        <w:rPr>
          <w:rFonts w:ascii="Times New Roman" w:hAnsi="Times New Roman"/>
          <w:sz w:val="24"/>
        </w:rPr>
        <w:t xml:space="preserve"> “os recursos são cronicamente insuficientes em relação às tarefas solicitadas aos trabalhadores” (LIPSKY, 2019, p. 80). Diante dessa insuficiência, o trabalhador raciona o serviço, e o</w:t>
      </w:r>
      <w:r>
        <w:rPr>
          <w:rFonts w:ascii="Times New Roman" w:hAnsi="Times New Roman"/>
          <w:sz w:val="24"/>
          <w:highlight w:val="yellow"/>
        </w:rPr>
        <w:t xml:space="preserve"> autor</w:t>
      </w:r>
      <w:r>
        <w:rPr>
          <w:rFonts w:ascii="Times New Roman" w:hAnsi="Times New Roman"/>
          <w:sz w:val="24"/>
        </w:rPr>
        <w:t xml:space="preserve"> define: “Racionar bens ou serviços é estabelecer o nível ou as proporções de sua distribuição” (LIPSKY, 2019, p. 181). Na escola investigada, a situação é outra. Como registramos na abertura desta introdução e documentamos no Capítulo 6, as salas de 1º e 2º anos não dispõem de dispositivos digitais, </w:t>
      </w:r>
      <w:r>
        <w:rPr>
          <w:rFonts w:ascii="Times New Roman" w:hAnsi="Times New Roman"/>
          <w:sz w:val="24"/>
          <w:highlight w:val="yellow"/>
        </w:rPr>
        <w:t>e, portanto</w:t>
      </w:r>
      <w:r>
        <w:rPr>
          <w:rFonts w:ascii="Times New Roman" w:hAnsi="Times New Roman"/>
          <w:sz w:val="24"/>
        </w:rPr>
        <w:t>, não há o que racionar. A questão, nesse caso, antecede o racionamento: que margem de ação resta à profissional quando falta aquilo de que a política depende para acontecer na sala de aula? A escala também é outra</w:t>
      </w:r>
      <w:r>
        <w:rPr>
          <w:rFonts w:ascii="Times New Roman" w:hAnsi="Times New Roman"/>
          <w:sz w:val="24"/>
          <w:highlight w:val="yellow"/>
        </w:rPr>
        <w:t>, pois, como discutido na justificativa, a profissional de uma escola pequena convive com as famílias fora dela, e cada decisão tem custo social imediato</w:t>
      </w:r>
      <w:r>
        <w:rPr>
          <w:rFonts w:ascii="Times New Roman" w:hAnsi="Times New Roman"/>
          <w:sz w:val="24"/>
        </w:rPr>
        <w:t>.</w:t>
      </w:r>
    </w:p>
    <w:p>
      <w:pPr>
        <w:spacing w:line="360" w:lineRule="auto"/>
        <w:ind w:firstLine="709"/>
        <w:jc w:val="both"/>
      </w:pPr>
      <w:r>
        <w:rPr>
          <w:rFonts w:ascii="Times New Roman" w:hAnsi="Times New Roman"/>
          <w:sz w:val="24"/>
        </w:rPr>
        <w:t>A ACP também encontra limites. Bowe, Ball e Gold (1992, p. 21, tradução nossa) reconhecem a dimensão material das políticas ao afirmar que elas “são intervenções textuais, mas também carregam consigo restrições e possibilidades materiais”, e retomam Rizvi e Kemmis para descrever como os sujeitos interpretam um programa:</w:t>
      </w:r>
    </w:p>
    <w:p>
      <w:pPr>
        <w:spacing w:line="240" w:lineRule="auto" w:after="240"/>
        <w:ind w:left="2268"/>
        <w:jc w:val="both"/>
      </w:pPr>
      <w:r>
        <w:rPr>
          <w:rFonts w:ascii="Times New Roman" w:hAnsi="Times New Roman"/>
          <w:sz w:val="20"/>
        </w:rPr>
        <w:t>Aqueles que participam de um programa no nível da escola vão interpretá-lo em seus próprios termos, em relação à sua própria compreensão, desejos, valores e propósitos, e em relação aos meios de que dispõem e às formas de trabalho que preferem. (RIZVI; KEMMIS, 1987, p. 21 apud BOWE; BALL; GOLD, 1992, p. 22, tradução nossa)</w:t>
      </w:r>
    </w:p>
    <w:p>
      <w:pPr>
        <w:spacing w:line="360" w:lineRule="auto"/>
        <w:ind w:firstLine="709"/>
        <w:jc w:val="both"/>
      </w:pPr>
      <w:r>
        <w:rPr>
          <w:rFonts w:ascii="Times New Roman" w:hAnsi="Times New Roman"/>
          <w:sz w:val="24"/>
        </w:rPr>
        <w:t>Ball, Maguire e Braun (2016, p. 48), por sua vez, incluem entre os contextos da atuação o contexto material, o qual “refere-se aos aspectos ‘físicos’ de uma escola: edifícios e orçamentos, mas também aos funcionários, às tecnologias de informação e à infraestrutura”. Essas formulações reconhecem o peso da matéria, mas foram construídas a partir de escolas inglesas nas quais os meios existiam, ainda que em quantidades e formatos desiguais. Na escola investigada, a interpretação esbarra em limites concretos, como equipamentos, conexão, suporte técnico e formação, esta última prevista na própria lei entre as estratégias do eixo. Nem o racionamento descrito por Lipsky (2019) nem a margem de interpretação discutida pela ACP explicam, isoladamente, o trabalho desses profissionais.</w:t>
      </w:r>
    </w:p>
    <w:p>
      <w:pPr>
        <w:spacing w:line="360" w:lineRule="auto"/>
        <w:ind w:firstLine="709"/>
        <w:jc w:val="both"/>
      </w:pPr>
      <w:r>
        <w:rPr>
          <w:rFonts w:ascii="Times New Roman" w:hAnsi="Times New Roman"/>
          <w:sz w:val="24"/>
        </w:rPr>
        <w:t>Em outro texto, Ball oferece a formulação mais próxima do fenômeno buscado por esta tese:</w:t>
      </w:r>
    </w:p>
    <w:p>
      <w:pPr>
        <w:spacing w:line="240" w:lineRule="auto" w:after="240"/>
        <w:ind w:left="2268"/>
        <w:jc w:val="both"/>
      </w:pPr>
      <w:r>
        <w:rPr>
          <w:rFonts w:ascii="Times New Roman" w:hAnsi="Times New Roman"/>
          <w:sz w:val="20"/>
        </w:rPr>
        <w:t>As políticas normalmente não dizem o que fazer; elas criam circunstâncias nas quais o espectro de opções disponíveis sobre o que fazer é reduzido ou modificado ou em que metas particulares ou efeitos são estabelecidos. Uma resposta ainda precisa ser construída no contexto, contraposta ou balanceada por outras expectativas, o que envolve algum tipo de ação social criativa. (BALL, 2011, p. 45-46)</w:t>
      </w:r>
    </w:p>
    <w:p>
      <w:pPr>
        <w:spacing w:line="360" w:lineRule="auto"/>
        <w:ind w:firstLine="709"/>
        <w:jc w:val="both"/>
      </w:pPr>
      <w:r>
        <w:rPr>
          <w:rFonts w:ascii="Times New Roman" w:hAnsi="Times New Roman"/>
          <w:sz w:val="24"/>
        </w:rPr>
        <w:t>A PNED cria uma dessas circunstâncias e define o que a escola deve ensinar, como pensamento computacional, cultura digital e direitos digitais. Em Pipa, a resposta a ser construída no contexto encontra um espectro de opções reduzido pela ausência dos próprios meios, e a ação criativa descrita por Ball (2011) pode, nessa situação, mudar de natureza.</w:t>
      </w:r>
    </w:p>
    <w:p>
      <w:pPr>
        <w:spacing w:line="360" w:lineRule="auto"/>
        <w:ind w:firstLine="709"/>
        <w:jc w:val="both"/>
      </w:pPr>
      <w:r>
        <w:rPr>
          <w:rFonts w:ascii="Times New Roman" w:hAnsi="Times New Roman"/>
          <w:sz w:val="24"/>
        </w:rPr>
        <w:t>É desse descompasso que nasce a proposição desta tese, a “discricionariedade substitutiva</w:t>
      </w:r>
      <w:r>
        <w:rPr>
          <w:rFonts w:ascii="Times New Roman" w:hAnsi="Times New Roman"/>
          <w:sz w:val="24"/>
          <w:highlight w:val="yellow"/>
        </w:rPr>
        <w:t>”</w:t>
      </w:r>
      <w:r>
        <w:rPr>
          <w:rFonts w:ascii="Times New Roman" w:hAnsi="Times New Roman"/>
          <w:sz w:val="24"/>
        </w:rPr>
        <w:t xml:space="preserve">. A categoria nomeia o que acontece com a decisão profissional quando a política institui um direito, transforma esse direito em dever do Estado e distribui entre os entes federados a tarefa de prover os meios, sem mecanismo capaz de garantir sua chegada à escola, isto é, o desenho descrito na seção 1.2. Nossa proposição é que, nesse caso, a decisão passa a recair sobre aquilo que não existe, pois a profissional supre com recursos, conhecimento e tempo próprios uma condição anunciada pela PNED e não assegurada à escola. Mudam, com isso, o objeto da decisão e quem arca com seu custo. Por apostarmos nessa categoria, fixamos, antes do campo, os critérios metodológicos que a sustentarão e as condições em que teremos de abandoná-la (Capítulo 4). </w:t>
      </w:r>
      <w:r>
        <w:rPr>
          <w:rFonts w:ascii="Times New Roman" w:hAnsi="Times New Roman"/>
          <w:sz w:val="24"/>
          <w:highlight w:val="yellow"/>
        </w:rPr>
        <w:t>Essa é a principal contribuição que a tese pretende oferecer à</w:t>
      </w:r>
      <w:r>
        <w:rPr>
          <w:rFonts w:ascii="Times New Roman" w:hAnsi="Times New Roman"/>
          <w:sz w:val="24"/>
        </w:rPr>
        <w:t xml:space="preserve"> pesquisa em educação.</w:t>
      </w:r>
    </w:p>
    <w:p>
      <w:pPr>
        <w:spacing w:line="360" w:lineRule="auto"/>
        <w:ind w:firstLine="709"/>
        <w:jc w:val="both"/>
      </w:pPr>
      <w:r>
        <w:rPr>
          <w:rFonts w:ascii="Times New Roman" w:hAnsi="Times New Roman"/>
          <w:sz w:val="24"/>
        </w:rPr>
        <w:t>Reconhecemos, contudo, situações próximas registradas pela literatura, das quais a categoria precisa se diferenciar. Ball, Maguire e Braun (2016) encontraram, nas escolas inglesas estudadas, atuações sustentadas por “uma grande dose de compromisso cru (de alguns diferentes tipos e graus, para estudantes e para as escolas) e muito boa vontade” (BALL; MAGUIRE; BRAUN, 2016, p. 102). Lipsky (2019, p. 416) menciona o professor que “dedica um tempo extra a um aluno novo” e retoma Maynard-Moody e Musheno, autores do relato de um conselheiro que “desconsiderou a burocracia para prover um computador para um cliente” em um ato “que redime o Estado” (LIPSKY, 2019, p. 417). Nesses casos, alguém contorna uma regra em favor de outra pessoa, ou a escola dispõe de meios, em maior ou menor quantidade. A discricionariedade substitutiva descreve outra situação, na qual a profissional faz o que a própria política prescreve e supre, de forma recorrente e para a turma inteira, uma condição anunciada pela política e ausente da escola.</w:t>
      </w:r>
    </w:p>
    <w:p>
      <w:pPr>
        <w:spacing w:line="360" w:lineRule="auto"/>
        <w:ind w:firstLine="709"/>
        <w:jc w:val="both"/>
      </w:pPr>
      <w:r>
        <w:rPr>
          <w:rFonts w:ascii="Times New Roman" w:hAnsi="Times New Roman"/>
          <w:sz w:val="24"/>
        </w:rPr>
        <w:t xml:space="preserve">A ausência atinge também o conhecimento esperado dos profissionais, além de equipamentos e conexão. A lei inclui entre as estratégias do eixo a formação inicial de professores em competências digitais e a presença das tecnologias nos cursos de formação continuada (BRASIL, 2023a, art. 3º, § 1º, IX e X), mas como ações de promoção, sem definir responsáveis, prazos, carga horária ou fontes de custeio. A Resolução CNE/CEB nº 2/2025 só veio em 2025, mais de dois anos depois da PNED, e atribuiu aos sistemas de ensino e às instituições a definição e a implementação de estratégias de formação continuada para a educação digital e midiática (BRASIL, 2025a, art. 37). Se os registros da SME e o questionário confirmarem a chegada recente da formação à rede investigada, os profissionais terão passado esse intervalo responsáveis por um componente curricular sem a formação prevista. </w:t>
      </w:r>
      <w:r>
        <w:rPr>
          <w:rFonts w:ascii="Times New Roman" w:hAnsi="Times New Roman"/>
          <w:sz w:val="24"/>
          <w:highlight w:val="yellow"/>
        </w:rPr>
        <w:t>Também será preciso compreender o que essa formação de fato supriu: se não partiu das necessidades reais dos profissionais, a lacuna continuará a ser preenchida</w:t>
      </w:r>
      <w:r>
        <w:rPr>
          <w:rFonts w:ascii="Times New Roman" w:hAnsi="Times New Roman"/>
          <w:sz w:val="24"/>
        </w:rPr>
        <w:t xml:space="preserve"> com tempo e recursos próprios</w:t>
      </w:r>
      <w:r>
        <w:rPr>
          <w:rFonts w:ascii="Times New Roman" w:hAnsi="Times New Roman"/>
          <w:sz w:val="24"/>
          <w:highlight w:val="yellow"/>
        </w:rPr>
        <w:t>, situação examinada pelos critérios do Capítulo 4</w:t>
      </w:r>
      <w:r>
        <w:rPr>
          <w:rFonts w:ascii="Times New Roman" w:hAnsi="Times New Roman"/>
          <w:sz w:val="24"/>
        </w:rPr>
        <w:t>.</w:t>
      </w:r>
    </w:p>
    <w:p>
      <w:pPr>
        <w:spacing w:line="360" w:lineRule="auto"/>
        <w:ind w:firstLine="709"/>
        <w:jc w:val="both"/>
      </w:pPr>
      <w:r>
        <w:rPr>
          <w:rFonts w:ascii="Times New Roman" w:hAnsi="Times New Roman"/>
          <w:sz w:val="24"/>
        </w:rPr>
        <w:t>Diante disso, perguntamos: como uma professora ensina pensamento computacional e direitos digitais a crianças de seis e sete anos se a política não lhe ofereceu, a tempo, formação nesses conteúdos ou foi insuficiente para suas necessidades formativas? Valente (1999, p. 105) já apontava a existência de barreiras que “nem o professor nem a administração da escola conseguem vencer sem o auxílio de especialistas na área”. Castells (2003, p. 212), ao discutir a divisão digital, observa que o sistema escolar, “mesmo quanto [sic] dispõe da tecnologia, carece de professores capazes de usá-la com eficiência, além de pedagogia e organização institucional para estimular novas habilidades de aprendizado”, e que, “na falta de treinamento adequado dos professores, e de reforma pedagógica nas escolas, as famílias assumem grande parte da responsabilidade pela instrução dos filhos”. Castells (2003) trata da realidade norte-americana, e a leitura aplicada à escola pública brasileira é da tese, mas a lógica é semelhante: quando a instituição não oferece a condição, alguém a assume. Quando a formação não chega, a profissional aprende sozinha, no tempo retirado da própria jornada, à noite ou no fim de semana, ou ensina o que já sabe, reduzindo o eixo a esse repertório. O custo dessa substituição se mede, sobretudo, em tempo, e as entrevistas procuram captá-lo pelo relato dos participantes.</w:t>
      </w:r>
    </w:p>
    <w:p>
      <w:pPr>
        <w:spacing w:line="360" w:lineRule="auto"/>
        <w:ind w:firstLine="709"/>
        <w:jc w:val="both"/>
      </w:pPr>
      <w:r>
        <w:rPr>
          <w:rFonts w:ascii="Times New Roman" w:hAnsi="Times New Roman"/>
          <w:sz w:val="24"/>
        </w:rPr>
        <w:t>Das duas saídas, aprender sozinho corresponde a um dos componentes da categoria, enquanto ensinar apenas o que já domina só conta quando o relato associa essa restrição à falta de formação, uma vez que ela também pode resultar de escolha pedagógica. A simples existência de formação, por sua vez, não afasta a ausência. Valente (1999, p. 113) lembra: “Embora a formação do professor seja um dos fatores importantes dessa mudança, ela não pode ser vista como o único fator desencadeador de mudança da escola”. Pelos critérios metodológicos que sustentarão a categoria analítica, apresentados no Capítulo 4, a formação deixa de ser condição ausente apenas quando chegou antes da exigência, alcançou a profissional na função e na etapa em que atua e tratou dos conteúdos que ela precisou buscar sozinha. Se o profissional relatar a insuficiência de uma formação com essas características para o trabalho com a turma, o relato é registrado e comparado com os registros de formação. A formação não constitui objeto próprio desta investigação, pois examinamos as condições oferecidas pela política e a correspondência entre o oferecido e o exigido, sem avaliar o saber dos profissionais.</w:t>
      </w:r>
    </w:p>
    <w:p>
      <w:pPr>
        <w:spacing w:line="360" w:lineRule="auto"/>
        <w:ind w:firstLine="709"/>
        <w:jc w:val="both"/>
      </w:pPr>
      <w:r>
        <w:rPr>
          <w:rFonts w:ascii="Times New Roman" w:hAnsi="Times New Roman"/>
          <w:sz w:val="24"/>
        </w:rPr>
        <w:t>Esse deslocamento da decisão precisa de nome por suas consequências. Quando a realização de um direito depende do que cada profissional consegue mobilizar, a política passa a existir na medida dos recursos, do conhecimento e do tempo de quem está na ponta, e as respostas tendem a variar de uma turma para outra e a reduzir o eixo ao que cabe nos meios e no repertório disponíveis. Para os profissionais da educação, o custo recai sobre o tempo e os recursos pessoais, em uma jornada já estendida para além da escola, como mostram os dados reunidos por Queiroz e Paiva (2014). Há também o risco de soluções improvisadas contrariarem a proteção pretendida pela própria lei, como quando aparelhos e aplicativos pessoais entram no trabalho com crianças sem os cuidados exigidos pelos direitos digitais. A substituição tem, ainda, um efeito menos visível, pois, ao cobrir a lacuna, faz parecer que a política está em curso, esconde a falta dos meios devidos e enfraquece o sinal da necessidade de ação do poder público. Trata-se da distorção do serviço ideal apontada por Lipsky, a qual, no caso da PNED, atinge a “participação consciente e democrática por meio das tecnologias digitais” e a proteção dos dados das crianças prometidas pela lei (BRASIL, 2023a, art. 3º, III e IV).</w:t>
      </w:r>
    </w:p>
    <w:p>
      <w:pPr>
        <w:spacing w:line="360" w:lineRule="auto"/>
        <w:ind w:firstLine="709"/>
        <w:jc w:val="both"/>
      </w:pPr>
      <w:r>
        <w:rPr>
          <w:rFonts w:ascii="Times New Roman" w:hAnsi="Times New Roman"/>
          <w:sz w:val="24"/>
        </w:rPr>
        <w:t>Esses riscos nascem de um desenho no qual se transfere aos profissionais uma tarefa sem os meios correspondentes e, por isso, não podem ser tratados como falha individual. Freire (2019, p. 64-65) lembra: “O professor tem o dever de dar suas aulas, de realizar sua tarefa docente. Para isso, precisa de condições favoráveis, higiênicas, espaciais, estéticas, sem as quais se move menos eficazmente no espaço pedagógico. Às vezes, as condições são de tal maneira perversas que nem se move”. Bauman, em escala mais ampla, descreve a mesma inversão ao afirmar: “Riscos e contradições continuam a ser socialmente produzidos; são apenas o dever e a necessidade de enfrentá-los que estão sendo individualizados” (BAUMAN, 2001). Nenhum dos dois autores trata da PNED; a relação com o caso é construída por esta tese. Quando um profissional retira do próprio tempo e dos próprios recursos o que a política prometeu, tratamos isso como custo, e esse custo atinge também a turma, que passa a receber menos do que a lei assegura sem uma decisão explícita de alguém nesse sentido. Por enquanto, esses efeitos são riscos, e o campo mostrará quais deles se confirmam.</w:t>
      </w:r>
    </w:p>
    <w:p>
      <w:pPr>
        <w:spacing w:line="360" w:lineRule="auto"/>
        <w:ind w:firstLine="709"/>
        <w:jc w:val="both"/>
      </w:pPr>
      <w:r>
        <w:rPr>
          <w:rFonts w:ascii="Times New Roman" w:hAnsi="Times New Roman"/>
          <w:sz w:val="24"/>
        </w:rPr>
        <w:t xml:space="preserve">A categoria não opera sozinha na tese. Ela integra um conjunto de três formulações analíticas, ao lado do habitar digital e da rugosidade tecnológica, construídas a partir das condições documentadas no Capítulo 6. Habitar digital nomeia a desigualdade interna ao território, onde alta densidade tecnológica e baixa disponibilidade institucional convivem e alcançam a experiência escolar. Rugosidade tecnológica refere-se às estruturas deixadas por iniciativas anteriores à política vigente, ainda presentes na escola mesmo quando as funções responsáveis por sua origem já perderam força. Santos (2012, p. 74-75) observa: “Uma vez criada e usada na execução da função que lhe foi designada, a forma freqüentemente permanece aguardando o próximo movimento dinâmico da sociedade, quando terá toda a probabilidade de ser chamada a cumprir uma nova função”. E acrescenta: “As rugosidades – formas remanescentes dos períodos anteriores – devem ser levadas em conta quando uma sociedade procura impor novas funções” (SANTOS, 2012, p. 75). O laboratório da escola de Pipa, segundo informações </w:t>
      </w:r>
      <w:r>
        <w:rPr>
          <w:rFonts w:ascii="Times New Roman" w:hAnsi="Times New Roman"/>
          <w:sz w:val="24"/>
          <w:highlight w:val="yellow"/>
        </w:rPr>
        <w:t xml:space="preserve">preliminares </w:t>
      </w:r>
      <w:r>
        <w:rPr>
          <w:rFonts w:ascii="Times New Roman" w:hAnsi="Times New Roman"/>
          <w:sz w:val="24"/>
        </w:rPr>
        <w:t>montado pela Prefeitura em 2022, é um exemplo, pois a PNED impõe uma nova função a uma escola onde permanecem equipamentos de uma iniciativa anterior a ela.</w:t>
      </w:r>
    </w:p>
    <w:p>
      <w:pPr>
        <w:spacing w:line="360" w:lineRule="auto"/>
        <w:ind w:firstLine="709"/>
        <w:jc w:val="both"/>
      </w:pPr>
      <w:r>
        <w:rPr>
          <w:rFonts w:ascii="Times New Roman" w:hAnsi="Times New Roman"/>
          <w:sz w:val="24"/>
        </w:rPr>
        <w:t>As três formulações, porém, não têm o mesmo estatuto. Habitar digital e rugosidade tecnológica dizem respeito a condições identificadas no contexto empírico e documentadas pelo registro iconográfico e pelo acervo histórico, enquanto a discricionariedade substitutiva é uma proposição sobre a ação profissional, passível de confirmação, delimitação, renomeação ou recusa pelo campo, e a única, de fato, em jogo nas entrevistas. As três ajudam a responder à mesma pergunta, ou seja, como a política ganha forma quando encontra um território de trajetórias desiguais, uma rotina de trabalho já ocupada e condições materiais aquém do anunciado. O que os profissionais fazem com essa distância, somente as entrevistas poderão mostrar.</w:t>
      </w:r>
    </w:p>
    <w:p>
      <w:pPr>
        <w:spacing w:line="360" w:lineRule="auto"/>
        <w:ind w:firstLine="709"/>
        <w:jc w:val="both"/>
      </w:pPr>
      <w:r>
        <w:rPr>
          <w:rFonts w:ascii="Times New Roman" w:hAnsi="Times New Roman"/>
          <w:sz w:val="24"/>
        </w:rPr>
        <w:t>O objeto também é inédito, pela novidade da norma e pelo recorte, conforme a lacuna identificada pela RSL e descrita na seção 1.2.</w:t>
      </w:r>
    </w:p>
    <w:p>
      <w:pPr>
        <w:spacing w:line="360" w:lineRule="auto"/>
        <w:ind w:firstLine="709"/>
        <w:jc w:val="both"/>
      </w:pPr>
      <w:r>
        <w:rPr>
          <w:rFonts w:ascii="Times New Roman" w:hAnsi="Times New Roman"/>
          <w:sz w:val="24"/>
        </w:rPr>
        <w:t>Nossa análise se concentra em quem faz a mediação da política e nas condições institucionais de seu trabalho. Ficam de fora o cumprimento integral da PNED e seus efeitos sobre a aprendizagem, questões dependentes de outros desenhos de pesquisa e de mais tempo de acompanhamento. As crianças não participam da produção de dados, e suas experiências digitais entram na investigação como parte das condições encontradas pelos profissionais no cotidiano escolar.</w:t>
      </w:r>
    </w:p>
    <w:p>
      <w:pPr>
        <w:spacing w:line="360" w:lineRule="auto" w:before="240" w:after="240"/>
      </w:pPr>
      <w:r>
        <w:rPr>
          <w:rFonts w:ascii="Times New Roman" w:hAnsi="Times New Roman"/>
          <w:b/>
          <w:sz w:val="24"/>
        </w:rPr>
        <w:t>1.5 ARQUITETURA DA TESE</w:t>
      </w:r>
    </w:p>
    <w:p>
      <w:pPr>
        <w:spacing w:line="360" w:lineRule="auto"/>
        <w:ind w:firstLine="709"/>
        <w:jc w:val="both"/>
      </w:pPr>
      <w:r>
        <w:rPr>
          <w:rFonts w:ascii="Times New Roman" w:hAnsi="Times New Roman"/>
          <w:sz w:val="24"/>
        </w:rPr>
        <w:t>A tese está organizada em oito capítulos, articulados à questão norteadora, aos objetivos e à contribuição apresentados nesta introdução. Os Capítulos 5, 6 e 7 respondem, respectivamente, aos objetivos específicos a, b e c; os anteriores constroem as condições para respondê-los. O Quadro 9, no Capítulo 4, detalha a correspondência entre objetivos, fontes e capítulos.</w:t>
      </w:r>
    </w:p>
    <w:p>
      <w:pPr>
        <w:spacing w:line="360" w:lineRule="auto"/>
        <w:ind w:firstLine="709"/>
        <w:jc w:val="both"/>
      </w:pPr>
      <w:r>
        <w:rPr>
          <w:rFonts w:ascii="Times New Roman" w:hAnsi="Times New Roman"/>
          <w:sz w:val="24"/>
        </w:rPr>
        <w:t>No primeiro capítulo, esta introdução, apresentamos o objeto, o problema, a questão norteadora, os objetivos, a proposição e a contribuição esperada.</w:t>
      </w:r>
    </w:p>
    <w:p>
      <w:pPr>
        <w:spacing w:line="360" w:lineRule="auto"/>
        <w:ind w:firstLine="709"/>
        <w:jc w:val="both"/>
      </w:pPr>
      <w:r>
        <w:rPr>
          <w:rFonts w:ascii="Times New Roman" w:hAnsi="Times New Roman"/>
          <w:sz w:val="24"/>
        </w:rPr>
        <w:t>No segundo capítulo, “Entre a norma e o uso: o que a produção científica evidencia sobre a implementação da educação digital nos anos iniciais”, apresentamos a revisão sistemática da produção científica sobre o tema, conduzida segundo a declaração PRISMA 2020 (PAGE et al., 2022). O capítulo responde à questão da revisão e localiza a lacuna ocupada pela tese, descrita na seção 1.2.</w:t>
      </w:r>
    </w:p>
    <w:p>
      <w:pPr>
        <w:spacing w:line="360" w:lineRule="auto"/>
        <w:ind w:firstLine="709"/>
        <w:jc w:val="both"/>
      </w:pPr>
      <w:r>
        <w:rPr>
          <w:rFonts w:ascii="Times New Roman" w:hAnsi="Times New Roman"/>
          <w:sz w:val="24"/>
        </w:rPr>
        <w:t>No terceiro capítulo, “Nenhum chão sob os pés: cultura e cibercultura no tempo que não se fixa”, ainda em construção, desenvolvemos o alicerce conceitual da investigação: cultura, cibercultura e cultura digital; temporalidade, mediações e experiência; governança de dados, poder e subjetividades no digital; e a relação entre educação digital e profissionais da educação. Nele, o tempo, dimensão na qual se paga o custo da substituição, recebe tratamento teórico, e o ambiente de plataformização em que a PNED surge é discutido.</w:t>
      </w:r>
    </w:p>
    <w:p>
      <w:pPr>
        <w:spacing w:line="360" w:lineRule="auto"/>
        <w:ind w:firstLine="709"/>
        <w:jc w:val="both"/>
      </w:pPr>
      <w:r>
        <w:rPr>
          <w:rFonts w:ascii="Times New Roman" w:hAnsi="Times New Roman"/>
          <w:sz w:val="24"/>
        </w:rPr>
        <w:t>No quarto capítulo, “Como se escuta uma política: o desenho metodológico do estudo de caso em Tibau do Sul/RN”, apresentamos o desenho da pesquisa. Mostramos onde os referenciais deixam de cobrir o caso, justificamos o recorte, relacionamos cada objetivo específico às fontes e aos capítulos correspondentes e fixamos, antes das entrevistas, os critérios metodológicos que sustentarão a categoria analítica, com as condições de confirmação, delimitação, renomeação ou recusa da discricionariedade substitutiva. Apresentamos, ainda, os instrumentos, ajustados para esse exame, os procedimentos de análise e os cuidados éticos.</w:t>
      </w:r>
    </w:p>
    <w:p>
      <w:pPr>
        <w:spacing w:line="360" w:lineRule="auto"/>
        <w:ind w:firstLine="709"/>
        <w:jc w:val="both"/>
      </w:pPr>
      <w:r>
        <w:rPr>
          <w:rFonts w:ascii="Times New Roman" w:hAnsi="Times New Roman"/>
          <w:sz w:val="24"/>
        </w:rPr>
        <w:t>O quinto capítulo, “A produção do texto da política: da agenda internacional à PNED”, responde ao objetivo específico a e mostra o que a política promete e com que meios, percorrendo os referenciais internacionais, experiências de outros países, a trajetória das políticas brasileiras e a formulação da PNED. Nele, documentamos a escolha responsável pela lacuna, isto é, uma política de articulação, sem fundo próprio, na qual cabe às redes e às escolas a tarefa de prover as condições, resultado nomeado como vazio material.</w:t>
      </w:r>
    </w:p>
    <w:p>
      <w:pPr>
        <w:spacing w:line="360" w:lineRule="auto"/>
        <w:ind w:firstLine="709"/>
        <w:jc w:val="both"/>
      </w:pPr>
      <w:r>
        <w:rPr>
          <w:rFonts w:ascii="Times New Roman" w:hAnsi="Times New Roman"/>
          <w:sz w:val="24"/>
        </w:rPr>
        <w:t>No sexto capítulo, “Onde a política desembarca: o território de Pipa como contexto da prática da educação digital”, respondemos ao objetivo específico b e apresentamos as condições de recepção da política: a história e as transformações do distrito, a diversidade de quem a escola atende e as condições materiais da escola, onde documentamos o habitar digital e a rugosidade tecnológica.</w:t>
      </w:r>
    </w:p>
    <w:p>
      <w:pPr>
        <w:spacing w:line="360" w:lineRule="auto"/>
        <w:ind w:firstLine="709"/>
        <w:jc w:val="both"/>
      </w:pPr>
      <w:r>
        <w:rPr>
          <w:rFonts w:ascii="Times New Roman" w:hAnsi="Times New Roman"/>
          <w:sz w:val="24"/>
        </w:rPr>
        <w:t>No sétimo capítulo, “A PNED no contexto da prática: narrativas dos profissionais da educação”, respondemos ao objetivo específico c. Analisamos as respostas dos profissionais à distância entre a promessa da política e as condições encontradas, submetendo a discricionariedade substitutiva às narrativas, com os critérios definidos no Capítulo 4.</w:t>
      </w:r>
    </w:p>
    <w:p>
      <w:pPr>
        <w:spacing w:line="360" w:lineRule="auto"/>
        <w:ind w:firstLine="709"/>
        <w:jc w:val="both"/>
      </w:pPr>
      <w:r>
        <w:rPr>
          <w:rFonts w:ascii="Times New Roman" w:hAnsi="Times New Roman"/>
          <w:sz w:val="24"/>
        </w:rPr>
        <w:t>Por fim, no oitavo capítulo, apresentamos as considerações finais, retomando a questão norteadora e os objetivos, sistematizando os achados e apontando as contribuições, as limitações do estudo e as possibilidades para investigações futuras.</w:t>
      </w:r>
    </w:p>
    <w:p>
      <w:pPr>
        <w:spacing w:line="360" w:lineRule="auto"/>
        <w:ind w:firstLine="709"/>
        <w:jc w:val="both"/>
      </w:pPr>
      <w:r>
        <w:rPr>
          <w:rFonts w:ascii="Times New Roman" w:hAnsi="Times New Roman"/>
          <w:sz w:val="24"/>
          <w:highlight w:val="yellow"/>
        </w:rPr>
        <w:t>Sustentamos</w:t>
      </w:r>
      <w:r>
        <w:rPr>
          <w:rFonts w:ascii="Times New Roman" w:hAnsi="Times New Roman"/>
          <w:sz w:val="24"/>
        </w:rPr>
        <w:t xml:space="preserve"> que a PNED fez da educação digital um direito e um dever do Estado e deixou a chegada dos meios à escola a cargo do que cada ente consegue prover. As narrativas dos profissionais dirão se, na escola de Pipa, esse desenho mudou a natureza da decisão profissional, como propomos, ou se a proposição precisa ser delimitada, renomeada ou recusada. Em qualquer caso, permanece a pergunta sobre quem arca com a falta de meios, pergunta importante por envolver sujeitos concretos: doze profissionais da educação e as crianças de 1º e 2º anos de uma escola pública de Pipa.</w:t>
      </w:r>
    </w:p>
    <w:p>
      <w:pPr>
        <w:spacing w:line="360" w:lineRule="auto" w:before="240" w:after="240"/>
      </w:pPr>
      <w:r>
        <w:rPr>
          <w:rFonts w:ascii="Times New Roman" w:hAnsi="Times New Roman"/>
          <w:b/>
          <w:sz w:val="24"/>
        </w:rPr>
        <w:t>REFERÊNCIAS</w:t>
      </w:r>
    </w:p>
    <w:p>
      <w:pPr>
        <w:spacing w:line="240" w:lineRule="auto" w:after="240"/>
        <w:jc w:val="left"/>
      </w:pPr>
      <w:r>
        <w:rPr>
          <w:rFonts w:ascii="Times New Roman" w:hAnsi="Times New Roman"/>
          <w:sz w:val="24"/>
        </w:rPr>
        <w:t>ANDRÉ, Marli Eliza Dalmazo Afonso de. Estudo de caso em pesquisa e avaliação educacional. Brasília, DF: Líber Livro, 2005.</w:t>
      </w:r>
    </w:p>
    <w:p>
      <w:pPr>
        <w:spacing w:line="240" w:lineRule="auto" w:after="240"/>
        <w:jc w:val="left"/>
      </w:pPr>
      <w:r>
        <w:rPr>
          <w:rFonts w:ascii="Times New Roman" w:hAnsi="Times New Roman"/>
          <w:sz w:val="24"/>
        </w:rPr>
        <w:t>BALL, Stephen J. Performatividade, privatização e o pós-Estado do bem-estar. Educação &amp; Sociedade, Campinas, v. 25, n. 89, p. 1105-1126, set./dez. 2004.</w:t>
      </w:r>
    </w:p>
    <w:p>
      <w:pPr>
        <w:spacing w:line="240" w:lineRule="auto" w:after="240"/>
        <w:jc w:val="left"/>
      </w:pPr>
      <w:r>
        <w:rPr>
          <w:rFonts w:ascii="Times New Roman" w:hAnsi="Times New Roman"/>
          <w:sz w:val="24"/>
        </w:rPr>
        <w:t>BAUMAN, Zygmunt. Globalização: as consequências humanas. Rio de Janeiro: Jorge Zahar, 1999.</w:t>
      </w:r>
    </w:p>
    <w:p>
      <w:pPr>
        <w:spacing w:line="360" w:lineRule="auto"/>
        <w:ind w:firstLine="709"/>
        <w:jc w:val="both"/>
      </w:pPr>
      <w:r>
        <w:rPr>
          <w:rFonts w:ascii="Times New Roman" w:hAnsi="Times New Roman"/>
          <w:sz w:val="24"/>
          <w:highlight w:val="yellow"/>
        </w:rPr>
        <w:t>BALL, Stephen J. Sociologia das políticas educacionais e pesquisa crítico-social: uma revisão pessoal das políticas educacionais e da pesquisa em política educacional. In: BALL, Stephen J.; MAINARDES, Jefferson (org.). Políticas educacionais: questões e dilemas. São Paulo: Cortez, 2011. p. 21-53.</w:t>
      </w:r>
    </w:p>
    <w:p>
      <w:pPr>
        <w:spacing w:line="360" w:lineRule="auto"/>
        <w:ind w:firstLine="709"/>
        <w:jc w:val="both"/>
      </w:pPr>
      <w:r>
        <w:rPr>
          <w:rFonts w:ascii="Times New Roman" w:hAnsi="Times New Roman"/>
          <w:sz w:val="24"/>
          <w:highlight w:val="yellow"/>
        </w:rPr>
        <w:t>BALL, Stephen J.; MAGUIRE, Meg; BRAUN, Annette. Como as escolas fazem as políticas: atuação em escolas secundárias. Tradução de Janete Bridon. Ponta Grossa: Editora UEPG, 2016.</w:t>
      </w:r>
    </w:p>
    <w:p>
      <w:pPr>
        <w:spacing w:line="240" w:lineRule="auto" w:after="240"/>
        <w:jc w:val="left"/>
      </w:pPr>
      <w:r>
        <w:rPr>
          <w:rFonts w:ascii="Times New Roman" w:hAnsi="Times New Roman"/>
          <w:sz w:val="24"/>
        </w:rPr>
        <w:t>BOWE, Richard; BALL, Stephen J.; GOLD, Anne. Reforming education and changing schools: case studies in policy sociology. London: Routledge, 1992.</w:t>
      </w:r>
    </w:p>
    <w:p>
      <w:pPr>
        <w:spacing w:line="240" w:lineRule="auto" w:after="240"/>
        <w:jc w:val="left"/>
      </w:pPr>
      <w:r>
        <w:rPr>
          <w:rFonts w:ascii="Times New Roman" w:hAnsi="Times New Roman"/>
          <w:sz w:val="24"/>
        </w:rPr>
        <w:t>BRASIL. Lei nº 9.394, de 20 de dezembro de 1996. Estabelece as diretrizes e bases da educação nacional (LDB). Brasília, DF: Diário Oficial da União, 1996.</w:t>
      </w:r>
    </w:p>
    <w:p>
      <w:pPr>
        <w:spacing w:line="240" w:lineRule="auto" w:after="240"/>
        <w:jc w:val="left"/>
      </w:pPr>
      <w:r>
        <w:rPr>
          <w:rFonts w:ascii="Times New Roman" w:hAnsi="Times New Roman"/>
          <w:sz w:val="24"/>
        </w:rPr>
        <w:t>BRASIL. Lei nº 14.533, de 11 de janeiro de 2023. Institui a Política Nacional de Educação Digital (PNED). Brasília, DF: Diário Oficial da União, 2023a.</w:t>
      </w:r>
    </w:p>
    <w:p>
      <w:pPr>
        <w:spacing w:line="240" w:lineRule="auto" w:after="240"/>
        <w:jc w:val="left"/>
      </w:pPr>
      <w:r>
        <w:rPr>
          <w:rFonts w:ascii="Times New Roman" w:hAnsi="Times New Roman"/>
          <w:sz w:val="24"/>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Diário Oficial da União, 2025a.</w:t>
      </w:r>
    </w:p>
    <w:p>
      <w:pPr>
        <w:spacing w:line="240" w:lineRule="auto" w:after="240"/>
        <w:jc w:val="left"/>
      </w:pPr>
      <w:r>
        <w:rPr>
          <w:rFonts w:ascii="Times New Roman" w:hAnsi="Times New Roman"/>
          <w:sz w:val="24"/>
        </w:rPr>
        <w:t>BRASIL. Lei nº 15.211, de 17 de setembro de 2025. Dispõe sobre a proteção de crianças e adolescentes em ambientes digitais (Estatuto Digital da Criança e do Adolescente). Brasília, DF: Diário Oficial da União, 2025c.</w:t>
      </w:r>
    </w:p>
    <w:p>
      <w:pPr>
        <w:spacing w:line="240" w:lineRule="auto" w:after="240"/>
        <w:jc w:val="left"/>
      </w:pPr>
      <w:r>
        <w:rPr>
          <w:rFonts w:ascii="Times New Roman" w:hAnsi="Times New Roman"/>
          <w:sz w:val="24"/>
        </w:rPr>
        <w:t>BRAUN, Virginia; CLARKE, Victoria. Using thematic analysis in psychology. Qualitative Research in Psychology, v. 3, n. 2, p. 77-101, 2006. DOI: https://doi.org/10.1191/1478088706qp063oa.</w:t>
      </w:r>
    </w:p>
    <w:p>
      <w:pPr>
        <w:spacing w:line="240" w:lineRule="auto" w:after="240"/>
        <w:jc w:val="left"/>
      </w:pPr>
      <w:r>
        <w:rPr>
          <w:rFonts w:ascii="Times New Roman" w:hAnsi="Times New Roman"/>
          <w:sz w:val="24"/>
        </w:rPr>
        <w:t>BRAUN, Virginia; CLARKE, Victoria. Reflecting on reflexive thematic analysis. Qualitative Research in Sport, Exercise and Health, v. 11, n. 4, p. 589-597, 2019. DOI: https://doi.org/10.1080/2159676X.2019.1628806.</w:t>
      </w:r>
    </w:p>
    <w:p>
      <w:pPr>
        <w:spacing w:line="240" w:lineRule="auto" w:after="240"/>
        <w:jc w:val="left"/>
      </w:pPr>
      <w:r>
        <w:rPr>
          <w:rFonts w:ascii="Times New Roman" w:hAnsi="Times New Roman"/>
          <w:sz w:val="24"/>
        </w:rPr>
        <w:t>BUCKINGHAM, David. Crescer na era das mídias eletrônicas. Tradução de Gilka Girardello e Isabel Orofino. São Paulo: Loyola, 2007.</w:t>
      </w:r>
    </w:p>
    <w:p>
      <w:pPr>
        <w:spacing w:line="240" w:lineRule="auto" w:after="240"/>
        <w:jc w:val="left"/>
      </w:pPr>
      <w:r>
        <w:rPr>
          <w:rFonts w:ascii="Times New Roman" w:hAnsi="Times New Roman"/>
          <w:sz w:val="24"/>
        </w:rPr>
        <w:t>CASTELLS, Manuel. A sociedade em rede. A era da informação: economia, sociedade e cultura, v. 1. 14. ed. São Paulo: Paz e Terra, 2013.</w:t>
      </w:r>
    </w:p>
    <w:p>
      <w:pPr>
        <w:spacing w:line="240" w:lineRule="auto" w:after="240"/>
        <w:jc w:val="left"/>
      </w:pPr>
      <w:r>
        <w:rPr>
          <w:rFonts w:ascii="Times New Roman" w:hAnsi="Times New Roman"/>
          <w:sz w:val="24"/>
        </w:rPr>
        <w:t>CGI.BR. Pesquisa sobre o uso das tecnologias de informação e comunicação nas escolas brasileiras: TIC Educação 2024. São Paulo: Comitê Gestor da Internet no Brasil, 2025a. CGI.BR. Pesquisa sobre o uso das tecnologias de informação e comunicação nos domicílios brasileiros: TIC Domicílios 2024. São Paulo: Comitê Gestor da Internet no Brasil, 2025b.</w:t>
      </w:r>
    </w:p>
    <w:p>
      <w:pPr>
        <w:spacing w:line="240" w:lineRule="auto" w:after="240"/>
        <w:jc w:val="left"/>
      </w:pPr>
      <w:r>
        <w:rPr>
          <w:rFonts w:ascii="Times New Roman" w:hAnsi="Times New Roman"/>
          <w:sz w:val="24"/>
        </w:rPr>
        <w:t xml:space="preserve">FREIRE, Paulo. Pedagogia da autonomia: saberes necessários à prática educativa. </w:t>
      </w:r>
      <w:r>
        <w:rPr>
          <w:rFonts w:ascii="Times New Roman" w:hAnsi="Times New Roman"/>
          <w:sz w:val="24"/>
          <w:highlight w:val="yellow"/>
        </w:rPr>
        <w:t>60. ed. Rio de Janeiro: Paz e Terra, 2019</w:t>
      </w:r>
      <w:r>
        <w:rPr>
          <w:rFonts w:ascii="Times New Roman" w:hAnsi="Times New Roman"/>
          <w:sz w:val="24"/>
        </w:rPr>
        <w:t>.</w:t>
      </w:r>
    </w:p>
    <w:p>
      <w:pPr>
        <w:spacing w:line="240" w:lineRule="auto" w:after="240"/>
        <w:jc w:val="left"/>
      </w:pPr>
      <w:r>
        <w:rPr>
          <w:rFonts w:ascii="Times New Roman" w:hAnsi="Times New Roman"/>
          <w:sz w:val="24"/>
        </w:rPr>
        <w:t>HALL, Stuart. A identidade cultural na pós-modernidade. 11. ed. Rio de Janeiro: DP&amp;A, 2006.</w:t>
      </w:r>
    </w:p>
    <w:p>
      <w:pPr>
        <w:spacing w:line="240" w:lineRule="auto" w:after="240"/>
        <w:jc w:val="left"/>
      </w:pPr>
      <w:r>
        <w:rPr>
          <w:rFonts w:ascii="Times New Roman" w:hAnsi="Times New Roman"/>
          <w:sz w:val="24"/>
        </w:rPr>
        <w:t>KITCHENHAM, Barbara; CHARTERS, Stuart. Guidelines for performing systematic literature reviews in software engineering. Version 2.3. Keele: Keele University; Durham: University of Durham, 2007.</w:t>
      </w:r>
    </w:p>
    <w:p>
      <w:pPr>
        <w:spacing w:line="240" w:lineRule="auto" w:after="240"/>
        <w:jc w:val="left"/>
      </w:pPr>
      <w:r>
        <w:rPr>
          <w:rFonts w:ascii="Times New Roman" w:hAnsi="Times New Roman"/>
          <w:sz w:val="24"/>
        </w:rPr>
        <w:t>LIMA, Licínio C. A “escola” como categoria na pesquisa em educação. Educação Unisinos, São Leopoldo, v. 12, n. 2, p. 82-88, maio/ago. 2008.</w:t>
      </w:r>
    </w:p>
    <w:p>
      <w:pPr>
        <w:spacing w:line="240" w:lineRule="auto" w:after="240"/>
        <w:jc w:val="left"/>
      </w:pPr>
      <w:r>
        <w:rPr>
          <w:rFonts w:ascii="Times New Roman" w:hAnsi="Times New Roman"/>
          <w:sz w:val="24"/>
        </w:rPr>
        <w:t>LIPSKY, Michael. Burocracia de nível de rua: dilemas do indivíduo nos serviços públicos. Brasília, DF: ENAP, 2019.</w:t>
      </w:r>
    </w:p>
    <w:p>
      <w:pPr>
        <w:spacing w:line="240" w:lineRule="auto" w:after="240"/>
        <w:jc w:val="left"/>
      </w:pPr>
      <w:r>
        <w:rPr>
          <w:rFonts w:ascii="Times New Roman" w:hAnsi="Times New Roman"/>
          <w:sz w:val="24"/>
        </w:rPr>
        <w:t>MAINARDES, Jefferson. Abordagem do ciclo de políticas: uma contribuição para a análise de políticas educacionais. Educação &amp; Sociedade, Campinas, v. 27, n. 94, p. 47-69, jan./abr. 2006. DOI: https://doi.org/10.1590/S0101-73302006000100003.</w:t>
      </w:r>
    </w:p>
    <w:p>
      <w:pPr>
        <w:spacing w:line="240" w:lineRule="auto" w:after="240"/>
        <w:jc w:val="left"/>
      </w:pPr>
      <w:r>
        <w:rPr>
          <w:rFonts w:ascii="Times New Roman" w:hAnsi="Times New Roman"/>
          <w:sz w:val="24"/>
        </w:rPr>
        <w:t>MASSEY, Doreen. Pelo espaço: uma nova política da espacialidade. Rio de Janeiro: Bertrand Brasil, 2008.</w:t>
      </w:r>
    </w:p>
    <w:p>
      <w:pPr>
        <w:spacing w:line="240" w:lineRule="auto" w:after="240"/>
        <w:jc w:val="left"/>
      </w:pPr>
      <w:r>
        <w:rPr>
          <w:rFonts w:ascii="Times New Roman" w:hAnsi="Times New Roman"/>
          <w:sz w:val="24"/>
        </w:rPr>
        <w:t>MOROZOV, Evgeny. Big Tech: a ascensão dos dados e a morte da política. São Paulo: Ubu Editora, 2018.</w:t>
      </w:r>
    </w:p>
    <w:p>
      <w:pPr>
        <w:spacing w:line="240" w:lineRule="auto" w:after="240"/>
        <w:jc w:val="left"/>
      </w:pPr>
      <w:r>
        <w:rPr>
          <w:rFonts w:ascii="Times New Roman" w:hAnsi="Times New Roman"/>
          <w:sz w:val="24"/>
        </w:rPr>
        <w:t>OKOLI, Chitu. Guia para realizar uma revisão sistemática da literatura. Tradução de David Wesley Amado Duarte; revisão técnica de João Mattar. EaD em Foco, v. 9, n. 1, e748, 2019. DOI: https://doi.org/10.18264/eadf.v9i1.748.</w:t>
      </w:r>
    </w:p>
    <w:p>
      <w:pPr>
        <w:spacing w:line="240" w:lineRule="auto" w:after="240"/>
        <w:jc w:val="left"/>
      </w:pPr>
      <w:r>
        <w:rPr>
          <w:rFonts w:ascii="Times New Roman" w:hAnsi="Times New Roman"/>
          <w:sz w:val="24"/>
        </w:rPr>
        <w:t>OLIVEIRA, Dalila Andrade; VIEIRA, Lívia Fraga. Trabalho na educação em sete estados brasileiros. Belo Horizonte: Fino Traço, 2012.</w:t>
      </w:r>
    </w:p>
    <w:p>
      <w:pPr>
        <w:spacing w:line="240" w:lineRule="auto" w:after="240"/>
        <w:jc w:val="left"/>
      </w:pPr>
      <w:r>
        <w:rPr>
          <w:rFonts w:ascii="Times New Roman" w:hAnsi="Times New Roman"/>
          <w:sz w:val="24"/>
        </w:rPr>
        <w:t>PAGE, Matthew J. et al. A declaração PRISMA 2020: diretriz atualizada para relatar revisões sistemáticas. Epidemiologia e Serviços de Saúde, Brasília, v. 31, n. 2, e2022107, 2022. DOI: https://doi.org/10.1590/S1679-49742022000200033.</w:t>
      </w:r>
    </w:p>
    <w:p>
      <w:pPr>
        <w:spacing w:line="240" w:lineRule="auto" w:after="240"/>
        <w:jc w:val="left"/>
      </w:pPr>
      <w:r>
        <w:rPr>
          <w:rFonts w:ascii="Times New Roman" w:hAnsi="Times New Roman"/>
          <w:sz w:val="24"/>
        </w:rPr>
        <w:t>PRENSKY, Marc. Digital natives, digital immigrants. On the Horizon, v. 9, n. 5, p. 1-6, 2001. DOI: https://doi.org/10.1108/10748120110424816. QUEIROZ, Maria Aparecida de; PAIVA, Maria Cristina Leandro de. A valorização do trabalho docente e a formação profissional. In: FRANÇA, Magna; MOMO, Mariângela (org.). Processo democrático participativo: a construção do PNE. Campinas: Mercado de Letras, 2014. p. 249-286.</w:t>
      </w:r>
    </w:p>
    <w:p>
      <w:pPr>
        <w:spacing w:line="240" w:lineRule="auto" w:after="240"/>
        <w:jc w:val="left"/>
      </w:pPr>
      <w:r>
        <w:rPr>
          <w:rFonts w:ascii="Times New Roman" w:hAnsi="Times New Roman"/>
          <w:sz w:val="24"/>
        </w:rPr>
        <w:t>ROJO, Roxane (org.). Escol@ conectada: os multiletramentos e as TICs. São Paulo: Parábola, 2013.</w:t>
      </w:r>
    </w:p>
    <w:p>
      <w:pPr>
        <w:spacing w:line="360" w:lineRule="auto"/>
        <w:ind w:firstLine="709"/>
        <w:jc w:val="both"/>
      </w:pPr>
      <w:r>
        <w:rPr>
          <w:rFonts w:ascii="Times New Roman" w:hAnsi="Times New Roman"/>
          <w:sz w:val="24"/>
          <w:highlight w:val="yellow"/>
        </w:rPr>
        <w:t>SANTOS, Milton. O território e o saber local: algumas categorias de análise. Cadernos IPPUR, Rio de Janeiro, ano 13, n. 2, p. 15-26, ago./dez. 1999.</w:t>
      </w:r>
    </w:p>
    <w:p>
      <w:pPr>
        <w:spacing w:line="360" w:lineRule="auto"/>
        <w:ind w:firstLine="709"/>
        <w:jc w:val="both"/>
      </w:pPr>
      <w:r>
        <w:rPr>
          <w:rFonts w:ascii="Times New Roman" w:hAnsi="Times New Roman"/>
          <w:sz w:val="24"/>
          <w:highlight w:val="yellow"/>
        </w:rPr>
        <w:t>SANTOS, Milton. Espaço e método. 5. ed., 1. reimpr. São Paulo: Editora da Universidade de São Paulo, 2012.</w:t>
      </w:r>
    </w:p>
    <w:p>
      <w:pPr>
        <w:spacing w:line="240" w:lineRule="auto" w:after="240"/>
        <w:jc w:val="left"/>
      </w:pPr>
      <w:r>
        <w:rPr>
          <w:rFonts w:ascii="Times New Roman" w:hAnsi="Times New Roman"/>
          <w:sz w:val="24"/>
        </w:rPr>
        <w:t>SANTOS, Milton. A natureza do espaço: técnica e tempo, razão e emoção. 4. ed. São Paulo: Edusp, 2006.</w:t>
      </w:r>
    </w:p>
    <w:p>
      <w:pPr>
        <w:spacing w:line="240" w:lineRule="auto" w:after="240"/>
        <w:jc w:val="left"/>
      </w:pPr>
      <w:r>
        <w:rPr>
          <w:rFonts w:ascii="Times New Roman" w:hAnsi="Times New Roman"/>
          <w:sz w:val="24"/>
        </w:rPr>
        <w:t>THOMAS, James; HARDEN, Angela. Methods for the thematic synthesis of qualitative research in systematic reviews. BMC Medical Research Methodology, v. 8, art. 45, 2008. DOI: https://doi.org/10.1186/1471-2288-8-45.</w:t>
      </w:r>
    </w:p>
    <w:p>
      <w:pPr>
        <w:spacing w:line="240" w:lineRule="auto" w:after="240"/>
        <w:jc w:val="left"/>
      </w:pPr>
      <w:r>
        <w:rPr>
          <w:rFonts w:ascii="Times New Roman" w:hAnsi="Times New Roman"/>
          <w:sz w:val="24"/>
        </w:rPr>
        <w:t>VALENTE, José Armando. O computador na sociedade do conhecimento. 3. ed. Campinas: NIED/Unicamp, 2019.</w:t>
      </w:r>
    </w:p>
    <w:p>
      <w:pPr>
        <w:spacing w:line="240" w:lineRule="auto" w:after="240"/>
        <w:jc w:val="left"/>
      </w:pPr>
      <w:r>
        <w:rPr>
          <w:rFonts w:ascii="Times New Roman" w:hAnsi="Times New Roman"/>
          <w:sz w:val="24"/>
        </w:rPr>
        <w:t>YIN, Robert K. Estudo de caso: planejamento e métodos. 2. ed. Porto Alegre: Bookman, 2001.</w:t>
      </w:r>
    </w:p>
    <w:p>
      <w:pPr>
        <w:spacing w:line="240" w:lineRule="auto" w:after="240"/>
        <w:jc w:val="left"/>
      </w:pPr>
      <w:r>
        <w:rPr>
          <w:rFonts w:ascii="Times New Roman" w:hAnsi="Times New Roman"/>
          <w:sz w:val="24"/>
        </w:rPr>
        <w:t>ZUBOFF, Shoshana. A era do capitalismo de vigilância: a luta por um futuro humano na nova fronteira do poder. Tradução de George Schlesinger. Rio de Janeiro: Intrínseca, 2021.</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