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Roteiro de fala – Qualificação de doutorado</w:t>
      </w:r>
    </w:p>
    <w:p>
      <w:r>
        <w:t>Tese: A política no canteiro da prática. Pesquisadora: Yzynya Silva Rezende Machado. Orientadora: Dra. Maria Cristina Leandro de Paiva.</w:t>
      </w:r>
    </w:p>
    <w:p>
      <w:r>
        <w:t>Como usar: o texto está em registro formal e explicativo, adequado à banca de qualificação; recomenda-se ensaiá-lo até que possa ser dito com naturalidade. Os tempos foram calculados a 120 palavras por minuto, mais 2 segundos por troca de slide; o total previsto é de cerca de 20 minutos. Os slides de abertura de parte (5, 20, 22, 25, 33 e 41) são de passagem rápida. Se precisar de mais folga, os slides 17, 18 e 29 podem ser encurtados.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Slide</w:t>
            </w:r>
          </w:p>
        </w:tc>
        <w:tc>
          <w:tcPr>
            <w:tcW w:type="dxa" w:w="2351"/>
          </w:tcPr>
          <w:p>
            <w:r>
              <w:t>Título</w:t>
            </w:r>
          </w:p>
        </w:tc>
        <w:tc>
          <w:tcPr>
            <w:tcW w:type="dxa" w:w="2351"/>
          </w:tcPr>
          <w:p>
            <w:r>
              <w:t>Tempo</w:t>
            </w:r>
          </w:p>
        </w:tc>
        <w:tc>
          <w:tcPr>
            <w:tcW w:type="dxa" w:w="2351"/>
          </w:tcPr>
          <w:p>
            <w:r>
              <w:t>Acumulado</w:t>
            </w:r>
          </w:p>
        </w:tc>
      </w:tr>
      <w:tr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Título</w:t>
            </w:r>
          </w:p>
        </w:tc>
        <w:tc>
          <w:tcPr>
            <w:tcW w:type="dxa" w:w="2351"/>
          </w:tcPr>
          <w:p>
            <w:r>
              <w:t>0:43</w:t>
            </w:r>
          </w:p>
        </w:tc>
        <w:tc>
          <w:tcPr>
            <w:tcW w:type="dxa" w:w="2351"/>
          </w:tcPr>
          <w:p>
            <w:r>
              <w:t>0:43</w:t>
            </w:r>
          </w:p>
        </w:tc>
      </w:tr>
      <w:tr>
        <w:tc>
          <w:tcPr>
            <w:tcW w:type="dxa" w:w="2351"/>
          </w:tcPr>
          <w:p>
            <w:r>
              <w:t>2</w:t>
            </w:r>
          </w:p>
        </w:tc>
        <w:tc>
          <w:tcPr>
            <w:tcW w:type="dxa" w:w="2351"/>
          </w:tcPr>
          <w:p>
            <w:r>
              <w:t>Percurso da apresentação</w:t>
            </w:r>
          </w:p>
        </w:tc>
        <w:tc>
          <w:tcPr>
            <w:tcW w:type="dxa" w:w="2351"/>
          </w:tcPr>
          <w:p>
            <w:r>
              <w:t>0:24</w:t>
            </w:r>
          </w:p>
        </w:tc>
        <w:tc>
          <w:tcPr>
            <w:tcW w:type="dxa" w:w="2351"/>
          </w:tcPr>
          <w:p>
            <w:r>
              <w:t>1:07</w:t>
            </w:r>
          </w:p>
        </w:tc>
      </w:tr>
      <w:tr>
        <w:tc>
          <w:tcPr>
            <w:tcW w:type="dxa" w:w="2351"/>
          </w:tcPr>
          <w:p>
            <w:r>
              <w:t>3</w:t>
            </w:r>
          </w:p>
        </w:tc>
        <w:tc>
          <w:tcPr>
            <w:tcW w:type="dxa" w:w="2351"/>
          </w:tcPr>
          <w:p>
            <w:r>
              <w:t>Trajetória: de onde parto</w:t>
            </w:r>
          </w:p>
        </w:tc>
        <w:tc>
          <w:tcPr>
            <w:tcW w:type="dxa" w:w="2351"/>
          </w:tcPr>
          <w:p>
            <w:r>
              <w:t>0:50</w:t>
            </w:r>
          </w:p>
        </w:tc>
        <w:tc>
          <w:tcPr>
            <w:tcW w:type="dxa" w:w="2351"/>
          </w:tcPr>
          <w:p>
            <w:r>
              <w:t>1:57</w:t>
            </w:r>
          </w:p>
        </w:tc>
      </w:tr>
      <w:tr>
        <w:tc>
          <w:tcPr>
            <w:tcW w:type="dxa" w:w="2351"/>
          </w:tcPr>
          <w:p>
            <w:r>
              <w:t>4</w:t>
            </w:r>
          </w:p>
        </w:tc>
        <w:tc>
          <w:tcPr>
            <w:tcW w:type="dxa" w:w="2351"/>
          </w:tcPr>
          <w:p>
            <w:r>
              <w:t>Relevâncias da pesquisa</w:t>
            </w:r>
          </w:p>
        </w:tc>
        <w:tc>
          <w:tcPr>
            <w:tcW w:type="dxa" w:w="2351"/>
          </w:tcPr>
          <w:p>
            <w:r>
              <w:t>0:26</w:t>
            </w:r>
          </w:p>
        </w:tc>
        <w:tc>
          <w:tcPr>
            <w:tcW w:type="dxa" w:w="2351"/>
          </w:tcPr>
          <w:p>
            <w:r>
              <w:t>2:23</w:t>
            </w:r>
          </w:p>
        </w:tc>
      </w:tr>
      <w:tr>
        <w:tc>
          <w:tcPr>
            <w:tcW w:type="dxa" w:w="2351"/>
          </w:tcPr>
          <w:p>
            <w:r>
              <w:t>5</w:t>
            </w:r>
          </w:p>
        </w:tc>
        <w:tc>
          <w:tcPr>
            <w:tcW w:type="dxa" w:w="2351"/>
          </w:tcPr>
          <w:p>
            <w:r>
              <w:t>Parte I – A proposta da tese</w:t>
            </w:r>
          </w:p>
        </w:tc>
        <w:tc>
          <w:tcPr>
            <w:tcW w:type="dxa" w:w="2351"/>
          </w:tcPr>
          <w:p>
            <w:r>
              <w:t>0:07</w:t>
            </w:r>
          </w:p>
        </w:tc>
        <w:tc>
          <w:tcPr>
            <w:tcW w:type="dxa" w:w="2351"/>
          </w:tcPr>
          <w:p>
            <w:r>
              <w:t>2:30</w:t>
            </w:r>
          </w:p>
        </w:tc>
      </w:tr>
      <w:tr>
        <w:tc>
          <w:tcPr>
            <w:tcW w:type="dxa" w:w="2351"/>
          </w:tcPr>
          <w:p>
            <w:r>
              <w:t>6</w:t>
            </w:r>
          </w:p>
        </w:tc>
        <w:tc>
          <w:tcPr>
            <w:tcW w:type="dxa" w:w="2351"/>
          </w:tcPr>
          <w:p>
            <w:r>
              <w:t>Estrutura da tese</w:t>
            </w:r>
          </w:p>
        </w:tc>
        <w:tc>
          <w:tcPr>
            <w:tcW w:type="dxa" w:w="2351"/>
          </w:tcPr>
          <w:p>
            <w:r>
              <w:t>0:24</w:t>
            </w:r>
          </w:p>
        </w:tc>
        <w:tc>
          <w:tcPr>
            <w:tcW w:type="dxa" w:w="2351"/>
          </w:tcPr>
          <w:p>
            <w:r>
              <w:t>2:54</w:t>
            </w:r>
          </w:p>
        </w:tc>
      </w:tr>
      <w:tr>
        <w:tc>
          <w:tcPr>
            <w:tcW w:type="dxa" w:w="2351"/>
          </w:tcPr>
          <w:p>
            <w:r>
              <w:t>7</w:t>
            </w:r>
          </w:p>
        </w:tc>
        <w:tc>
          <w:tcPr>
            <w:tcW w:type="dxa" w:w="2351"/>
          </w:tcPr>
          <w:p>
            <w:r>
              <w:t>A tese em uma imagem: o vazio material</w:t>
            </w:r>
          </w:p>
        </w:tc>
        <w:tc>
          <w:tcPr>
            <w:tcW w:type="dxa" w:w="2351"/>
          </w:tcPr>
          <w:p>
            <w:r>
              <w:t>0:54</w:t>
            </w:r>
          </w:p>
        </w:tc>
        <w:tc>
          <w:tcPr>
            <w:tcW w:type="dxa" w:w="2351"/>
          </w:tcPr>
          <w:p>
            <w:r>
              <w:t>3:48</w:t>
            </w:r>
          </w:p>
        </w:tc>
      </w:tr>
      <w:tr>
        <w:tc>
          <w:tcPr>
            <w:tcW w:type="dxa" w:w="2351"/>
          </w:tcPr>
          <w:p>
            <w:r>
              <w:t>8</w:t>
            </w:r>
          </w:p>
        </w:tc>
        <w:tc>
          <w:tcPr>
            <w:tcW w:type="dxa" w:w="2351"/>
          </w:tcPr>
          <w:p>
            <w:r>
              <w:t>O objeto e o recorte</w:t>
            </w:r>
          </w:p>
        </w:tc>
        <w:tc>
          <w:tcPr>
            <w:tcW w:type="dxa" w:w="2351"/>
          </w:tcPr>
          <w:p>
            <w:r>
              <w:t>0:46</w:t>
            </w:r>
          </w:p>
        </w:tc>
        <w:tc>
          <w:tcPr>
            <w:tcW w:type="dxa" w:w="2351"/>
          </w:tcPr>
          <w:p>
            <w:r>
              <w:t>4:34</w:t>
            </w:r>
          </w:p>
        </w:tc>
      </w:tr>
      <w:tr>
        <w:tc>
          <w:tcPr>
            <w:tcW w:type="dxa" w:w="2351"/>
          </w:tcPr>
          <w:p>
            <w:r>
              <w:t>9</w:t>
            </w:r>
          </w:p>
        </w:tc>
        <w:tc>
          <w:tcPr>
            <w:tcW w:type="dxa" w:w="2351"/>
          </w:tcPr>
          <w:p>
            <w:r>
              <w:t>Justificativa</w:t>
            </w:r>
          </w:p>
        </w:tc>
        <w:tc>
          <w:tcPr>
            <w:tcW w:type="dxa" w:w="2351"/>
          </w:tcPr>
          <w:p>
            <w:r>
              <w:t>0:40</w:t>
            </w:r>
          </w:p>
        </w:tc>
        <w:tc>
          <w:tcPr>
            <w:tcW w:type="dxa" w:w="2351"/>
          </w:tcPr>
          <w:p>
            <w:r>
              <w:t>5:14</w:t>
            </w:r>
          </w:p>
        </w:tc>
      </w:tr>
      <w:tr>
        <w:tc>
          <w:tcPr>
            <w:tcW w:type="dxa" w:w="2351"/>
          </w:tcPr>
          <w:p>
            <w:r>
              <w:t>10</w:t>
            </w:r>
          </w:p>
        </w:tc>
        <w:tc>
          <w:tcPr>
            <w:tcW w:type="dxa" w:w="2351"/>
          </w:tcPr>
          <w:p>
            <w:r>
              <w:t>Problematização: do portão para fora, do portão para dentro</w:t>
            </w:r>
          </w:p>
        </w:tc>
        <w:tc>
          <w:tcPr>
            <w:tcW w:type="dxa" w:w="2351"/>
          </w:tcPr>
          <w:p>
            <w:r>
              <w:t>0:40</w:t>
            </w:r>
          </w:p>
        </w:tc>
        <w:tc>
          <w:tcPr>
            <w:tcW w:type="dxa" w:w="2351"/>
          </w:tcPr>
          <w:p>
            <w:r>
              <w:t>5:54</w:t>
            </w:r>
          </w:p>
        </w:tc>
      </w:tr>
      <w:tr>
        <w:tc>
          <w:tcPr>
            <w:tcW w:type="dxa" w:w="2351"/>
          </w:tcPr>
          <w:p>
            <w:r>
              <w:t>11</w:t>
            </w:r>
          </w:p>
        </w:tc>
        <w:tc>
          <w:tcPr>
            <w:tcW w:type="dxa" w:w="2351"/>
          </w:tcPr>
          <w:p>
            <w:r>
              <w:t>Questão norteadora e objetivos</w:t>
            </w:r>
          </w:p>
        </w:tc>
        <w:tc>
          <w:tcPr>
            <w:tcW w:type="dxa" w:w="2351"/>
          </w:tcPr>
          <w:p>
            <w:r>
              <w:t>0:32</w:t>
            </w:r>
          </w:p>
        </w:tc>
        <w:tc>
          <w:tcPr>
            <w:tcW w:type="dxa" w:w="2351"/>
          </w:tcPr>
          <w:p>
            <w:r>
              <w:t>6:26</w:t>
            </w:r>
          </w:p>
        </w:tc>
      </w:tr>
      <w:tr>
        <w:tc>
          <w:tcPr>
            <w:tcW w:type="dxa" w:w="2351"/>
          </w:tcPr>
          <w:p>
            <w:r>
              <w:t>12</w:t>
            </w:r>
          </w:p>
        </w:tc>
        <w:tc>
          <w:tcPr>
            <w:tcW w:type="dxa" w:w="2351"/>
          </w:tcPr>
          <w:p>
            <w:r>
              <w:t>Contribuição inédita: discricionariedade substitutiva</w:t>
            </w:r>
          </w:p>
        </w:tc>
        <w:tc>
          <w:tcPr>
            <w:tcW w:type="dxa" w:w="2351"/>
          </w:tcPr>
          <w:p>
            <w:r>
              <w:t>0:54</w:t>
            </w:r>
          </w:p>
        </w:tc>
        <w:tc>
          <w:tcPr>
            <w:tcW w:type="dxa" w:w="2351"/>
          </w:tcPr>
          <w:p>
            <w:r>
              <w:t>7:20</w:t>
            </w:r>
          </w:p>
        </w:tc>
      </w:tr>
      <w:tr>
        <w:tc>
          <w:tcPr>
            <w:tcW w:type="dxa" w:w="2351"/>
          </w:tcPr>
          <w:p>
            <w:r>
              <w:t>13</w:t>
            </w:r>
          </w:p>
        </w:tc>
        <w:tc>
          <w:tcPr>
            <w:tcW w:type="dxa" w:w="2351"/>
          </w:tcPr>
          <w:p>
            <w:r>
              <w:t>Três componentes e os riscos a analisar</w:t>
            </w:r>
          </w:p>
        </w:tc>
        <w:tc>
          <w:tcPr>
            <w:tcW w:type="dxa" w:w="2351"/>
          </w:tcPr>
          <w:p>
            <w:r>
              <w:t>0:33</w:t>
            </w:r>
          </w:p>
        </w:tc>
        <w:tc>
          <w:tcPr>
            <w:tcW w:type="dxa" w:w="2351"/>
          </w:tcPr>
          <w:p>
            <w:r>
              <w:t>7:53</w:t>
            </w:r>
          </w:p>
        </w:tc>
      </w:tr>
      <w:tr>
        <w:tc>
          <w:tcPr>
            <w:tcW w:type="dxa" w:w="2351"/>
          </w:tcPr>
          <w:p>
            <w:r>
              <w:t>14</w:t>
            </w:r>
          </w:p>
        </w:tc>
        <w:tc>
          <w:tcPr>
            <w:tcW w:type="dxa" w:w="2351"/>
          </w:tcPr>
          <w:p>
            <w:r>
              <w:t>Três formulações, dois estatutos</w:t>
            </w:r>
          </w:p>
        </w:tc>
        <w:tc>
          <w:tcPr>
            <w:tcW w:type="dxa" w:w="2351"/>
          </w:tcPr>
          <w:p>
            <w:r>
              <w:t>0:20</w:t>
            </w:r>
          </w:p>
        </w:tc>
        <w:tc>
          <w:tcPr>
            <w:tcW w:type="dxa" w:w="2351"/>
          </w:tcPr>
          <w:p>
            <w:r>
              <w:t>8:13</w:t>
            </w:r>
          </w:p>
        </w:tc>
      </w:tr>
      <w:tr>
        <w:tc>
          <w:tcPr>
            <w:tcW w:type="dxa" w:w="2351"/>
          </w:tcPr>
          <w:p>
            <w:r>
              <w:t>15</w:t>
            </w:r>
          </w:p>
        </w:tc>
        <w:tc>
          <w:tcPr>
            <w:tcW w:type="dxa" w:w="2351"/>
          </w:tcPr>
          <w:p>
            <w:r>
              <w:t>Onde os referenciais deixam de cobrir o caso</w:t>
            </w:r>
          </w:p>
        </w:tc>
        <w:tc>
          <w:tcPr>
            <w:tcW w:type="dxa" w:w="2351"/>
          </w:tcPr>
          <w:p>
            <w:r>
              <w:t>0:29</w:t>
            </w:r>
          </w:p>
        </w:tc>
        <w:tc>
          <w:tcPr>
            <w:tcW w:type="dxa" w:w="2351"/>
          </w:tcPr>
          <w:p>
            <w:r>
              <w:t>8:42</w:t>
            </w:r>
          </w:p>
        </w:tc>
      </w:tr>
      <w:tr>
        <w:tc>
          <w:tcPr>
            <w:tcW w:type="dxa" w:w="2351"/>
          </w:tcPr>
          <w:p>
            <w:r>
              <w:t>16</w:t>
            </w:r>
          </w:p>
        </w:tc>
        <w:tc>
          <w:tcPr>
            <w:tcW w:type="dxa" w:w="2351"/>
          </w:tcPr>
          <w:p>
            <w:r>
              <w:t>O motor teórico: duas engrenagens e o fosso entre elas</w:t>
            </w:r>
          </w:p>
        </w:tc>
        <w:tc>
          <w:tcPr>
            <w:tcW w:type="dxa" w:w="2351"/>
          </w:tcPr>
          <w:p>
            <w:r>
              <w:t>1:05</w:t>
            </w:r>
          </w:p>
        </w:tc>
        <w:tc>
          <w:tcPr>
            <w:tcW w:type="dxa" w:w="2351"/>
          </w:tcPr>
          <w:p>
            <w:r>
              <w:t>9:47</w:t>
            </w:r>
          </w:p>
        </w:tc>
      </w:tr>
      <w:tr>
        <w:tc>
          <w:tcPr>
            <w:tcW w:type="dxa" w:w="2351"/>
          </w:tcPr>
          <w:p>
            <w:r>
              <w:t>17</w:t>
            </w:r>
          </w:p>
        </w:tc>
        <w:tc>
          <w:tcPr>
            <w:tcW w:type="dxa" w:w="2351"/>
          </w:tcPr>
          <w:p>
            <w:r>
              <w:t>Como a categoria pode falhar</w:t>
            </w:r>
          </w:p>
        </w:tc>
        <w:tc>
          <w:tcPr>
            <w:tcW w:type="dxa" w:w="2351"/>
          </w:tcPr>
          <w:p>
            <w:r>
              <w:t>0:28</w:t>
            </w:r>
          </w:p>
        </w:tc>
        <w:tc>
          <w:tcPr>
            <w:tcW w:type="dxa" w:w="2351"/>
          </w:tcPr>
          <w:p>
            <w:r>
              <w:t>10:15</w:t>
            </w:r>
          </w:p>
        </w:tc>
      </w:tr>
      <w:tr>
        <w:tc>
          <w:tcPr>
            <w:tcW w:type="dxa" w:w="2351"/>
          </w:tcPr>
          <w:p>
            <w:r>
              <w:t>18</w:t>
            </w:r>
          </w:p>
        </w:tc>
        <w:tc>
          <w:tcPr>
            <w:tcW w:type="dxa" w:w="2351"/>
          </w:tcPr>
          <w:p>
            <w:r>
              <w:t>Ética, posição e reflexividade</w:t>
            </w:r>
          </w:p>
        </w:tc>
        <w:tc>
          <w:tcPr>
            <w:tcW w:type="dxa" w:w="2351"/>
          </w:tcPr>
          <w:p>
            <w:r>
              <w:t>0:18</w:t>
            </w:r>
          </w:p>
        </w:tc>
        <w:tc>
          <w:tcPr>
            <w:tcW w:type="dxa" w:w="2351"/>
          </w:tcPr>
          <w:p>
            <w:r>
              <w:t>10:33</w:t>
            </w:r>
          </w:p>
        </w:tc>
      </w:tr>
      <w:tr>
        <w:tc>
          <w:tcPr>
            <w:tcW w:type="dxa" w:w="2351"/>
          </w:tcPr>
          <w:p>
            <w:r>
              <w:t>19</w:t>
            </w:r>
          </w:p>
        </w:tc>
        <w:tc>
          <w:tcPr>
            <w:tcW w:type="dxa" w:w="2351"/>
          </w:tcPr>
          <w:p>
            <w:r>
              <w:t>A tessitura: os fios que sustentam a tese</w:t>
            </w:r>
          </w:p>
        </w:tc>
        <w:tc>
          <w:tcPr>
            <w:tcW w:type="dxa" w:w="2351"/>
          </w:tcPr>
          <w:p>
            <w:r>
              <w:t>0:15</w:t>
            </w:r>
          </w:p>
        </w:tc>
        <w:tc>
          <w:tcPr>
            <w:tcW w:type="dxa" w:w="2351"/>
          </w:tcPr>
          <w:p>
            <w:r>
              <w:t>10:48</w:t>
            </w:r>
          </w:p>
        </w:tc>
      </w:tr>
      <w:tr>
        <w:tc>
          <w:tcPr>
            <w:tcW w:type="dxa" w:w="2351"/>
          </w:tcPr>
          <w:p>
            <w:r>
              <w:t>20</w:t>
            </w:r>
          </w:p>
        </w:tc>
        <w:tc>
          <w:tcPr>
            <w:tcW w:type="dxa" w:w="2351"/>
          </w:tcPr>
          <w:p>
            <w:r>
              <w:t>Parte II – Revisão sistemática</w:t>
            </w:r>
          </w:p>
        </w:tc>
        <w:tc>
          <w:tcPr>
            <w:tcW w:type="dxa" w:w="2351"/>
          </w:tcPr>
          <w:p>
            <w:r>
              <w:t>0:07</w:t>
            </w:r>
          </w:p>
        </w:tc>
        <w:tc>
          <w:tcPr>
            <w:tcW w:type="dxa" w:w="2351"/>
          </w:tcPr>
          <w:p>
            <w:r>
              <w:t>10:55</w:t>
            </w:r>
          </w:p>
        </w:tc>
      </w:tr>
      <w:tr>
        <w:tc>
          <w:tcPr>
            <w:tcW w:type="dxa" w:w="2351"/>
          </w:tcPr>
          <w:p>
            <w:r>
              <w:t>21</w:t>
            </w:r>
          </w:p>
        </w:tc>
        <w:tc>
          <w:tcPr>
            <w:tcW w:type="dxa" w:w="2351"/>
          </w:tcPr>
          <w:p>
            <w:r>
              <w:t>A RSL: questão norteadora e resposta</w:t>
            </w:r>
          </w:p>
        </w:tc>
        <w:tc>
          <w:tcPr>
            <w:tcW w:type="dxa" w:w="2351"/>
          </w:tcPr>
          <w:p>
            <w:r>
              <w:t>0:53</w:t>
            </w:r>
          </w:p>
        </w:tc>
        <w:tc>
          <w:tcPr>
            <w:tcW w:type="dxa" w:w="2351"/>
          </w:tcPr>
          <w:p>
            <w:r>
              <w:t>11:48</w:t>
            </w:r>
          </w:p>
        </w:tc>
      </w:tr>
      <w:tr>
        <w:tc>
          <w:tcPr>
            <w:tcW w:type="dxa" w:w="2351"/>
          </w:tcPr>
          <w:p>
            <w:r>
              <w:t>22</w:t>
            </w:r>
          </w:p>
        </w:tc>
        <w:tc>
          <w:tcPr>
            <w:tcW w:type="dxa" w:w="2351"/>
          </w:tcPr>
          <w:p>
            <w:r>
              <w:t>Parte III – Metodologia</w:t>
            </w:r>
          </w:p>
        </w:tc>
        <w:tc>
          <w:tcPr>
            <w:tcW w:type="dxa" w:w="2351"/>
          </w:tcPr>
          <w:p>
            <w:r>
              <w:t>0:05</w:t>
            </w:r>
          </w:p>
        </w:tc>
        <w:tc>
          <w:tcPr>
            <w:tcW w:type="dxa" w:w="2351"/>
          </w:tcPr>
          <w:p>
            <w:r>
              <w:t>11:53</w:t>
            </w:r>
          </w:p>
        </w:tc>
      </w:tr>
      <w:tr>
        <w:tc>
          <w:tcPr>
            <w:tcW w:type="dxa" w:w="2351"/>
          </w:tcPr>
          <w:p>
            <w:r>
              <w:t>23</w:t>
            </w:r>
          </w:p>
        </w:tc>
        <w:tc>
          <w:tcPr>
            <w:tcW w:type="dxa" w:w="2351"/>
          </w:tcPr>
          <w:p>
            <w:r>
              <w:t>Desenho: estudo de caso único, qualitativo</w:t>
            </w:r>
          </w:p>
        </w:tc>
        <w:tc>
          <w:tcPr>
            <w:tcW w:type="dxa" w:w="2351"/>
          </w:tcPr>
          <w:p>
            <w:r>
              <w:t>0:31</w:t>
            </w:r>
          </w:p>
        </w:tc>
        <w:tc>
          <w:tcPr>
            <w:tcW w:type="dxa" w:w="2351"/>
          </w:tcPr>
          <w:p>
            <w:r>
              <w:t>12:24</w:t>
            </w:r>
          </w:p>
        </w:tc>
      </w:tr>
      <w:tr>
        <w:tc>
          <w:tcPr>
            <w:tcW w:type="dxa" w:w="2351"/>
          </w:tcPr>
          <w:p>
            <w:r>
              <w:t>24</w:t>
            </w:r>
          </w:p>
        </w:tc>
        <w:tc>
          <w:tcPr>
            <w:tcW w:type="dxa" w:w="2351"/>
          </w:tcPr>
          <w:p>
            <w:r>
              <w:t>Quem será ouvido</w:t>
            </w:r>
          </w:p>
        </w:tc>
        <w:tc>
          <w:tcPr>
            <w:tcW w:type="dxa" w:w="2351"/>
          </w:tcPr>
          <w:p>
            <w:r>
              <w:t>0:28</w:t>
            </w:r>
          </w:p>
        </w:tc>
        <w:tc>
          <w:tcPr>
            <w:tcW w:type="dxa" w:w="2351"/>
          </w:tcPr>
          <w:p>
            <w:r>
              <w:t>12:52</w:t>
            </w:r>
          </w:p>
        </w:tc>
      </w:tr>
      <w:tr>
        <w:tc>
          <w:tcPr>
            <w:tcW w:type="dxa" w:w="2351"/>
          </w:tcPr>
          <w:p>
            <w:r>
              <w:t>25</w:t>
            </w:r>
          </w:p>
        </w:tc>
        <w:tc>
          <w:tcPr>
            <w:tcW w:type="dxa" w:w="2351"/>
          </w:tcPr>
          <w:p>
            <w:r>
              <w:t>Parte IV – Agenda internacional e PNED</w:t>
            </w:r>
          </w:p>
        </w:tc>
        <w:tc>
          <w:tcPr>
            <w:tcW w:type="dxa" w:w="2351"/>
          </w:tcPr>
          <w:p>
            <w:r>
              <w:t>0:07</w:t>
            </w:r>
          </w:p>
        </w:tc>
        <w:tc>
          <w:tcPr>
            <w:tcW w:type="dxa" w:w="2351"/>
          </w:tcPr>
          <w:p>
            <w:r>
              <w:t>12:59</w:t>
            </w:r>
          </w:p>
        </w:tc>
      </w:tr>
      <w:tr>
        <w:tc>
          <w:tcPr>
            <w:tcW w:type="dxa" w:w="2351"/>
          </w:tcPr>
          <w:p>
            <w:r>
              <w:t>26</w:t>
            </w:r>
          </w:p>
        </w:tc>
        <w:tc>
          <w:tcPr>
            <w:tcW w:type="dxa" w:w="2351"/>
          </w:tcPr>
          <w:p>
            <w:r>
              <w:t>A agenda internacional: das presenças às condições</w:t>
            </w:r>
          </w:p>
        </w:tc>
        <w:tc>
          <w:tcPr>
            <w:tcW w:type="dxa" w:w="2351"/>
          </w:tcPr>
          <w:p>
            <w:r>
              <w:t>0:41</w:t>
            </w:r>
          </w:p>
        </w:tc>
        <w:tc>
          <w:tcPr>
            <w:tcW w:type="dxa" w:w="2351"/>
          </w:tcPr>
          <w:p>
            <w:r>
              <w:t>13:40</w:t>
            </w:r>
          </w:p>
        </w:tc>
      </w:tr>
      <w:tr>
        <w:tc>
          <w:tcPr>
            <w:tcW w:type="dxa" w:w="2351"/>
          </w:tcPr>
          <w:p>
            <w:r>
              <w:t>27</w:t>
            </w:r>
          </w:p>
        </w:tc>
        <w:tc>
          <w:tcPr>
            <w:tcW w:type="dxa" w:w="2351"/>
          </w:tcPr>
          <w:p>
            <w:r>
              <w:t>Mapa das políticas de educação digital</w:t>
            </w:r>
          </w:p>
        </w:tc>
        <w:tc>
          <w:tcPr>
            <w:tcW w:type="dxa" w:w="2351"/>
          </w:tcPr>
          <w:p>
            <w:r>
              <w:t>0:16</w:t>
            </w:r>
          </w:p>
        </w:tc>
        <w:tc>
          <w:tcPr>
            <w:tcW w:type="dxa" w:w="2351"/>
          </w:tcPr>
          <w:p>
            <w:r>
              <w:t>13:56</w:t>
            </w:r>
          </w:p>
        </w:tc>
      </w:tr>
      <w:tr>
        <w:tc>
          <w:tcPr>
            <w:tcW w:type="dxa" w:w="2351"/>
          </w:tcPr>
          <w:p>
            <w:r>
              <w:t>28</w:t>
            </w:r>
          </w:p>
        </w:tc>
        <w:tc>
          <w:tcPr>
            <w:tcW w:type="dxa" w:w="2351"/>
          </w:tcPr>
          <w:p>
            <w:r>
              <w:t>O que essas experiências trazem para a tese</w:t>
            </w:r>
          </w:p>
        </w:tc>
        <w:tc>
          <w:tcPr>
            <w:tcW w:type="dxa" w:w="2351"/>
          </w:tcPr>
          <w:p>
            <w:r>
              <w:t>0:24</w:t>
            </w:r>
          </w:p>
        </w:tc>
        <w:tc>
          <w:tcPr>
            <w:tcW w:type="dxa" w:w="2351"/>
          </w:tcPr>
          <w:p>
            <w:r>
              <w:t>14:20</w:t>
            </w:r>
          </w:p>
        </w:tc>
      </w:tr>
      <w:tr>
        <w:tc>
          <w:tcPr>
            <w:tcW w:type="dxa" w:w="2351"/>
          </w:tcPr>
          <w:p>
            <w:r>
              <w:t>29</w:t>
            </w:r>
          </w:p>
        </w:tc>
        <w:tc>
          <w:tcPr>
            <w:tcW w:type="dxa" w:w="2351"/>
          </w:tcPr>
          <w:p>
            <w:r>
              <w:t>Quatro décadas até a PNED</w:t>
            </w:r>
          </w:p>
        </w:tc>
        <w:tc>
          <w:tcPr>
            <w:tcW w:type="dxa" w:w="2351"/>
          </w:tcPr>
          <w:p>
            <w:r>
              <w:t>0:19</w:t>
            </w:r>
          </w:p>
        </w:tc>
        <w:tc>
          <w:tcPr>
            <w:tcW w:type="dxa" w:w="2351"/>
          </w:tcPr>
          <w:p>
            <w:r>
              <w:t>14:39</w:t>
            </w:r>
          </w:p>
        </w:tc>
      </w:tr>
      <w:tr>
        <w:tc>
          <w:tcPr>
            <w:tcW w:type="dxa" w:w="2351"/>
          </w:tcPr>
          <w:p>
            <w:r>
              <w:t>30</w:t>
            </w:r>
          </w:p>
        </w:tc>
        <w:tc>
          <w:tcPr>
            <w:tcW w:type="dxa" w:w="2351"/>
          </w:tcPr>
          <w:p>
            <w:r>
              <w:t>Por que a PNED importa</w:t>
            </w:r>
          </w:p>
        </w:tc>
        <w:tc>
          <w:tcPr>
            <w:tcW w:type="dxa" w:w="2351"/>
          </w:tcPr>
          <w:p>
            <w:r>
              <w:t>0:24</w:t>
            </w:r>
          </w:p>
        </w:tc>
        <w:tc>
          <w:tcPr>
            <w:tcW w:type="dxa" w:w="2351"/>
          </w:tcPr>
          <w:p>
            <w:r>
              <w:t>15:03</w:t>
            </w:r>
          </w:p>
        </w:tc>
      </w:tr>
      <w:tr>
        <w:tc>
          <w:tcPr>
            <w:tcW w:type="dxa" w:w="2351"/>
          </w:tcPr>
          <w:p>
            <w:r>
              <w:t>31</w:t>
            </w:r>
          </w:p>
        </w:tc>
        <w:tc>
          <w:tcPr>
            <w:tcW w:type="dxa" w:w="2351"/>
          </w:tcPr>
          <w:p>
            <w:r>
              <w:t>A PNED e o calendário da exigência</w:t>
            </w:r>
          </w:p>
        </w:tc>
        <w:tc>
          <w:tcPr>
            <w:tcW w:type="dxa" w:w="2351"/>
          </w:tcPr>
          <w:p>
            <w:r>
              <w:t>0:31</w:t>
            </w:r>
          </w:p>
        </w:tc>
        <w:tc>
          <w:tcPr>
            <w:tcW w:type="dxa" w:w="2351"/>
          </w:tcPr>
          <w:p>
            <w:r>
              <w:t>15:34</w:t>
            </w:r>
          </w:p>
        </w:tc>
      </w:tr>
      <w:tr>
        <w:tc>
          <w:tcPr>
            <w:tcW w:type="dxa" w:w="2351"/>
          </w:tcPr>
          <w:p>
            <w:r>
              <w:t>32</w:t>
            </w:r>
          </w:p>
        </w:tc>
        <w:tc>
          <w:tcPr>
            <w:tcW w:type="dxa" w:w="2351"/>
          </w:tcPr>
          <w:p>
            <w:r>
              <w:t>A promessa e o desenho</w:t>
            </w:r>
          </w:p>
        </w:tc>
        <w:tc>
          <w:tcPr>
            <w:tcW w:type="dxa" w:w="2351"/>
          </w:tcPr>
          <w:p>
            <w:r>
              <w:t>0:38</w:t>
            </w:r>
          </w:p>
        </w:tc>
        <w:tc>
          <w:tcPr>
            <w:tcW w:type="dxa" w:w="2351"/>
          </w:tcPr>
          <w:p>
            <w:r>
              <w:t>16:12</w:t>
            </w:r>
          </w:p>
        </w:tc>
      </w:tr>
      <w:tr>
        <w:tc>
          <w:tcPr>
            <w:tcW w:type="dxa" w:w="2351"/>
          </w:tcPr>
          <w:p>
            <w:r>
              <w:t>33</w:t>
            </w:r>
          </w:p>
        </w:tc>
        <w:tc>
          <w:tcPr>
            <w:tcW w:type="dxa" w:w="2351"/>
          </w:tcPr>
          <w:p>
            <w:r>
              <w:t>Parte V – O território e a escola</w:t>
            </w:r>
          </w:p>
        </w:tc>
        <w:tc>
          <w:tcPr>
            <w:tcW w:type="dxa" w:w="2351"/>
          </w:tcPr>
          <w:p>
            <w:r>
              <w:t>0:06</w:t>
            </w:r>
          </w:p>
        </w:tc>
        <w:tc>
          <w:tcPr>
            <w:tcW w:type="dxa" w:w="2351"/>
          </w:tcPr>
          <w:p>
            <w:r>
              <w:t>16:18</w:t>
            </w:r>
          </w:p>
        </w:tc>
      </w:tr>
      <w:tr>
        <w:tc>
          <w:tcPr>
            <w:tcW w:type="dxa" w:w="2351"/>
          </w:tcPr>
          <w:p>
            <w:r>
              <w:t>34</w:t>
            </w:r>
          </w:p>
        </w:tc>
        <w:tc>
          <w:tcPr>
            <w:tcW w:type="dxa" w:w="2351"/>
          </w:tcPr>
          <w:p>
            <w:r>
              <w:t>A antiga Pipa: trabalho, moradia e mar</w:t>
            </w:r>
          </w:p>
        </w:tc>
        <w:tc>
          <w:tcPr>
            <w:tcW w:type="dxa" w:w="2351"/>
          </w:tcPr>
          <w:p>
            <w:r>
              <w:t>0:24</w:t>
            </w:r>
          </w:p>
        </w:tc>
        <w:tc>
          <w:tcPr>
            <w:tcW w:type="dxa" w:w="2351"/>
          </w:tcPr>
          <w:p>
            <w:r>
              <w:t>16:42</w:t>
            </w:r>
          </w:p>
        </w:tc>
      </w:tr>
      <w:tr>
        <w:tc>
          <w:tcPr>
            <w:tcW w:type="dxa" w:w="2351"/>
          </w:tcPr>
          <w:p>
            <w:r>
              <w:t>35</w:t>
            </w:r>
          </w:p>
        </w:tc>
        <w:tc>
          <w:tcPr>
            <w:tcW w:type="dxa" w:w="2351"/>
          </w:tcPr>
          <w:p>
            <w:r>
              <w:t>As transformações: de vila a polo turístico</w:t>
            </w:r>
          </w:p>
        </w:tc>
        <w:tc>
          <w:tcPr>
            <w:tcW w:type="dxa" w:w="2351"/>
          </w:tcPr>
          <w:p>
            <w:r>
              <w:t>0:21</w:t>
            </w:r>
          </w:p>
        </w:tc>
        <w:tc>
          <w:tcPr>
            <w:tcW w:type="dxa" w:w="2351"/>
          </w:tcPr>
          <w:p>
            <w:r>
              <w:t>17:03</w:t>
            </w:r>
          </w:p>
        </w:tc>
      </w:tr>
      <w:tr>
        <w:tc>
          <w:tcPr>
            <w:tcW w:type="dxa" w:w="2351"/>
          </w:tcPr>
          <w:p>
            <w:r>
              <w:t>36</w:t>
            </w:r>
          </w:p>
        </w:tc>
        <w:tc>
          <w:tcPr>
            <w:tcW w:type="dxa" w:w="2351"/>
          </w:tcPr>
          <w:p>
            <w:r>
              <w:t>A Pipa de hoje: um território conectado</w:t>
            </w:r>
          </w:p>
        </w:tc>
        <w:tc>
          <w:tcPr>
            <w:tcW w:type="dxa" w:w="2351"/>
          </w:tcPr>
          <w:p>
            <w:r>
              <w:t>0:47</w:t>
            </w:r>
          </w:p>
        </w:tc>
        <w:tc>
          <w:tcPr>
            <w:tcW w:type="dxa" w:w="2351"/>
          </w:tcPr>
          <w:p>
            <w:r>
              <w:t>17:50</w:t>
            </w:r>
          </w:p>
        </w:tc>
      </w:tr>
      <w:tr>
        <w:tc>
          <w:tcPr>
            <w:tcW w:type="dxa" w:w="2351"/>
          </w:tcPr>
          <w:p>
            <w:r>
              <w:t>37</w:t>
            </w:r>
          </w:p>
        </w:tc>
        <w:tc>
          <w:tcPr>
            <w:tcW w:type="dxa" w:w="2351"/>
          </w:tcPr>
          <w:p>
            <w:r>
              <w:t>A escola não se resume ao que falta</w:t>
            </w:r>
          </w:p>
        </w:tc>
        <w:tc>
          <w:tcPr>
            <w:tcW w:type="dxa" w:w="2351"/>
          </w:tcPr>
          <w:p>
            <w:r>
              <w:t>0:15</w:t>
            </w:r>
          </w:p>
        </w:tc>
        <w:tc>
          <w:tcPr>
            <w:tcW w:type="dxa" w:w="2351"/>
          </w:tcPr>
          <w:p>
            <w:r>
              <w:t>18:05</w:t>
            </w:r>
          </w:p>
        </w:tc>
      </w:tr>
      <w:tr>
        <w:tc>
          <w:tcPr>
            <w:tcW w:type="dxa" w:w="2351"/>
          </w:tcPr>
          <w:p>
            <w:r>
              <w:t>38</w:t>
            </w:r>
          </w:p>
        </w:tc>
        <w:tc>
          <w:tcPr>
            <w:tcW w:type="dxa" w:w="2351"/>
          </w:tcPr>
          <w:p>
            <w:r>
              <w:t>Na escola: o que existe e onde está</w:t>
            </w:r>
          </w:p>
        </w:tc>
        <w:tc>
          <w:tcPr>
            <w:tcW w:type="dxa" w:w="2351"/>
          </w:tcPr>
          <w:p>
            <w:r>
              <w:t>0:34</w:t>
            </w:r>
          </w:p>
        </w:tc>
        <w:tc>
          <w:tcPr>
            <w:tcW w:type="dxa" w:w="2351"/>
          </w:tcPr>
          <w:p>
            <w:r>
              <w:t>18:39</w:t>
            </w:r>
          </w:p>
        </w:tc>
      </w:tr>
      <w:tr>
        <w:tc>
          <w:tcPr>
            <w:tcW w:type="dxa" w:w="2351"/>
          </w:tcPr>
          <w:p>
            <w:r>
              <w:t>39</w:t>
            </w:r>
          </w:p>
        </w:tc>
        <w:tc>
          <w:tcPr>
            <w:tcW w:type="dxa" w:w="2351"/>
          </w:tcPr>
          <w:p>
            <w:r>
              <w:t>Rugosidade tecnológica: perda ou ausência?</w:t>
            </w:r>
          </w:p>
        </w:tc>
        <w:tc>
          <w:tcPr>
            <w:tcW w:type="dxa" w:w="2351"/>
          </w:tcPr>
          <w:p>
            <w:r>
              <w:t>0:36</w:t>
            </w:r>
          </w:p>
        </w:tc>
        <w:tc>
          <w:tcPr>
            <w:tcW w:type="dxa" w:w="2351"/>
          </w:tcPr>
          <w:p>
            <w:r>
              <w:t>19:15</w:t>
            </w:r>
          </w:p>
        </w:tc>
      </w:tr>
      <w:tr>
        <w:tc>
          <w:tcPr>
            <w:tcW w:type="dxa" w:w="2351"/>
          </w:tcPr>
          <w:p>
            <w:r>
              <w:t>40</w:t>
            </w:r>
          </w:p>
        </w:tc>
        <w:tc>
          <w:tcPr>
            <w:tcW w:type="dxa" w:w="2351"/>
          </w:tcPr>
          <w:p>
            <w:r>
              <w:t>Contribuições analíticas do capítulo</w:t>
            </w:r>
          </w:p>
        </w:tc>
        <w:tc>
          <w:tcPr>
            <w:tcW w:type="dxa" w:w="2351"/>
          </w:tcPr>
          <w:p>
            <w:r>
              <w:t>0:14</w:t>
            </w:r>
          </w:p>
        </w:tc>
        <w:tc>
          <w:tcPr>
            <w:tcW w:type="dxa" w:w="2351"/>
          </w:tcPr>
          <w:p>
            <w:r>
              <w:t>19:29</w:t>
            </w:r>
          </w:p>
        </w:tc>
      </w:tr>
      <w:tr>
        <w:tc>
          <w:tcPr>
            <w:tcW w:type="dxa" w:w="2351"/>
          </w:tcPr>
          <w:p>
            <w:r>
              <w:t>41</w:t>
            </w:r>
          </w:p>
        </w:tc>
        <w:tc>
          <w:tcPr>
            <w:tcW w:type="dxa" w:w="2351"/>
          </w:tcPr>
          <w:p>
            <w:r>
              <w:t>Parte VI – O que ainda falta</w:t>
            </w:r>
          </w:p>
        </w:tc>
        <w:tc>
          <w:tcPr>
            <w:tcW w:type="dxa" w:w="2351"/>
          </w:tcPr>
          <w:p>
            <w:r>
              <w:t>0:06</w:t>
            </w:r>
          </w:p>
        </w:tc>
        <w:tc>
          <w:tcPr>
            <w:tcW w:type="dxa" w:w="2351"/>
          </w:tcPr>
          <w:p>
            <w:r>
              <w:t>19:35</w:t>
            </w:r>
          </w:p>
        </w:tc>
      </w:tr>
      <w:tr>
        <w:tc>
          <w:tcPr>
            <w:tcW w:type="dxa" w:w="2351"/>
          </w:tcPr>
          <w:p>
            <w:r>
              <w:t>42</w:t>
            </w:r>
          </w:p>
        </w:tc>
        <w:tc>
          <w:tcPr>
            <w:tcW w:type="dxa" w:w="2351"/>
          </w:tcPr>
          <w:p>
            <w:r>
              <w:t>Onde estamos e o que falta</w:t>
            </w:r>
          </w:p>
        </w:tc>
        <w:tc>
          <w:tcPr>
            <w:tcW w:type="dxa" w:w="2351"/>
          </w:tcPr>
          <w:p>
            <w:r>
              <w:t>0:26</w:t>
            </w:r>
          </w:p>
        </w:tc>
        <w:tc>
          <w:tcPr>
            <w:tcW w:type="dxa" w:w="2351"/>
          </w:tcPr>
          <w:p>
            <w:r>
              <w:t>20:01</w:t>
            </w:r>
          </w:p>
        </w:tc>
      </w:tr>
      <w:tr>
        <w:tc>
          <w:tcPr>
            <w:tcW w:type="dxa" w:w="2351"/>
          </w:tcPr>
          <w:p>
            <w:r>
              <w:t>43</w:t>
            </w:r>
          </w:p>
        </w:tc>
        <w:tc>
          <w:tcPr>
            <w:tcW w:type="dxa" w:w="2351"/>
          </w:tcPr>
          <w:p>
            <w:r>
              <w:t>A questão aberta / Agradecimento</w:t>
            </w:r>
          </w:p>
        </w:tc>
        <w:tc>
          <w:tcPr>
            <w:tcW w:type="dxa" w:w="2351"/>
          </w:tcPr>
          <w:p>
            <w:r>
              <w:t>0:39</w:t>
            </w:r>
          </w:p>
        </w:tc>
        <w:tc>
          <w:tcPr>
            <w:tcW w:type="dxa" w:w="2351"/>
          </w:tcPr>
          <w:p>
            <w:r>
              <w:t>20:40</w:t>
            </w:r>
          </w:p>
        </w:tc>
      </w:tr>
      <w:tr>
        <w:tc>
          <w:tcPr>
            <w:tcW w:type="dxa" w:w="2351"/>
          </w:tcPr>
          <w:p>
            <w:r>
              <w:t>44</w:t>
            </w:r>
          </w:p>
        </w:tc>
        <w:tc>
          <w:tcPr>
            <w:tcW w:type="dxa" w:w="2351"/>
          </w:tcPr>
          <w:p>
            <w:r>
              <w:t>Referências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—</w:t>
            </w:r>
          </w:p>
        </w:tc>
      </w:tr>
    </w:tbl>
    <w:p>
      <w:pPr>
        <w:pStyle w:val="Heading2"/>
      </w:pPr>
      <w:r>
        <w:t>Slide 1 – Título  (0:43; acumulado 0:43)</w:t>
      </w:r>
    </w:p>
    <w:p>
      <w:r>
        <w:t>Bom dia. Cumprimento os membros da banca, a quem agradeço a leitura atenta do texto, e minha orientadora, professora Maria Cristina Leandro de Paiva. Apresento a qualificação da tese intitulada “A política no canteiro da prática: norma, território e atuação profissional na implementação da educação digital escolar nos anos iniciais”. A investigação busca compreender de que modo uma política nacional de educação digital é recebida, interpretada e posta em prática em uma escola pública situada em Pipa, distrito de Tibau do Sul.</w:t>
      </w:r>
    </w:p>
    <w:p>
      <w:pPr>
        <w:pStyle w:val="Heading2"/>
      </w:pPr>
      <w:r>
        <w:t>Slide 2 – Percurso da apresentação  (0:24; acumulado 1:07)</w:t>
      </w:r>
    </w:p>
    <w:p>
      <w:r>
        <w:t>A exposição está organizada em seis partes: a proposta da tese; a revisão sistemática da literatura; o desenho metodológico; a análise da agenda internacional e da Política Nacional de Educação Digital; o território e a escola; e, por fim, as etapas que ainda serão realizadas.</w:t>
      </w:r>
    </w:p>
    <w:p>
      <w:pPr>
        <w:pStyle w:val="Heading2"/>
      </w:pPr>
      <w:r>
        <w:t>Slide 3 – Trajetória: de onde parto  (0:50; acumulado 1:57)</w:t>
      </w:r>
    </w:p>
    <w:p>
      <w:r>
        <w:t>Inicio pela posição de quem pesquisa, pois ela integra as condições da investigação. Convivo com o território de Pipa há quase duas décadas e atuei por dezoito anos na rede municipal de Tibau do Sul. No mestrado, realizei uma pesquisa-ação na mesma escola, durante o ensino remoto, e constatei que setenta por cento das crianças da turma compartilhavam o aparelho celular com os pais. Em razão dessa proximidade, adotei uma regra de método: a memória não é tomada como dado. A trajetória orienta o olhar, mas as afirmações da tese apoiam-se exclusivamente nos instrumentos de pesquisa.</w:t>
      </w:r>
    </w:p>
    <w:p>
      <w:pPr>
        <w:pStyle w:val="Heading2"/>
      </w:pPr>
      <w:r>
        <w:t>Slide 4 – Relevâncias da pesquisa  (0:26; acumulado 2:23)</w:t>
      </w:r>
    </w:p>
    <w:p>
      <w:r>
        <w:t>A pesquisa apresenta relevância em três dimensões. Do ponto de vista científico, a política ainda não foi examinada empiricamente nos anos iniciais, e as redes municipais de pequeno porte permanecem pouco estudadas. Do ponto de vista social, trata de cidadania e de proteção da infância no ambiente digital.</w:t>
      </w:r>
    </w:p>
    <w:p>
      <w:pPr>
        <w:pStyle w:val="Heading2"/>
      </w:pPr>
      <w:r>
        <w:t>Slide 5 – Parte I – A proposta da tese  (0:07; acumulado 2:30)</w:t>
      </w:r>
    </w:p>
    <w:p>
      <w:r>
        <w:t>Passo, então, à primeira parte, dedicada à proposta da tese.</w:t>
      </w:r>
    </w:p>
    <w:p>
      <w:pPr>
        <w:pStyle w:val="Heading2"/>
      </w:pPr>
      <w:r>
        <w:t>Slide 6 – Estrutura da tese  (0:24; acumulado 2:54)</w:t>
      </w:r>
    </w:p>
    <w:p>
      <w:r>
        <w:t>A tese organiza-se em oito capítulos. A introdução, a revisão sistemática, a metodologia, a análise da política e o capítulo sobre o território encontram-se redigidos. O terceiro capítulo, de fundamentação teórica, está em elaboração, e os capítulos sete e oito dependem do trabalho de campo.</w:t>
      </w:r>
    </w:p>
    <w:p>
      <w:pPr>
        <w:pStyle w:val="Heading2"/>
      </w:pPr>
      <w:r>
        <w:t>Slide 7 – A tese em uma imagem: o vazio material  (0:54; acumulado 3:48)</w:t>
      </w:r>
    </w:p>
    <w:p>
      <w:r>
        <w:t>Este slide sintetiza o argumento central. A Lei nº 14.533, de 2023, instituiu a Política Nacional de Educação Digital, que denomino PNED. Por meio dela, a educação digital passou a constituir direito, dever do Estado e componente curricular do ensino fundamental. Contudo, a lei não assegura as condições necessárias à sua realização, como formação específica dos profissionais, infraestrutura de rede e tempo de planejamento, que acabam sendo construídas, ou não, no cotidiano escolar. Daí decorre a questão norteadora: como ocorre a implementação do eixo Educação Digital Escolar nos anos iniciais, considerando os processos de interpretação, tradução e recontextualização construídos pelos profissionais da educação?</w:t>
      </w:r>
    </w:p>
    <w:p>
      <w:pPr>
        <w:pStyle w:val="Heading2"/>
      </w:pPr>
      <w:r>
        <w:t>Slide 8 – O objeto e o recorte  (0:46; acumulado 4:34)</w:t>
      </w:r>
    </w:p>
    <w:p>
      <w:r>
        <w:t>O recorte nas turmas de 1º e 2º anos justifica-se pela organização do trabalho escolar: nessas turmas, a mesma professora acompanha as crianças durante toda a jornada, o que permite identificar a autoria das decisões relativas à educação digital. Trata-se, ainda, do ingresso da criança no Ensino Fundamental, momento em que a familiaridade com aparelhos não se converte, por si só, em compreensão crítica dos usos, riscos e direitos. Ressalto que não se avaliam aprendizagens, não se observam aulas e as crianças não participam diretamente da produção de dados.</w:t>
      </w:r>
    </w:p>
    <w:p>
      <w:pPr>
        <w:pStyle w:val="Heading2"/>
      </w:pPr>
      <w:r>
        <w:t>Slide 9 – Justificativa  (0:40; acumulado 5:14)</w:t>
      </w:r>
    </w:p>
    <w:p>
      <w:r>
        <w:t>A justificativa apoia-se em três razões. A primeira diz respeito ao que a lei promete às crianças: participação consciente e democrática no ambiente digital e proteção de seus dados. A segunda refere-se aos sujeitos que realizam a política, isto é, professoras, coordenação, direção e equipe da Secretaria. A terceira relaciona-se ao território: Pipa reúne famílias de moradores antigos, migrantes, estrangeiros e trabalhadores do turismo, cujas crianças chegam à mesma turma com experiências digitais bastante desiguais.</w:t>
      </w:r>
    </w:p>
    <w:p>
      <w:pPr>
        <w:pStyle w:val="Heading2"/>
      </w:pPr>
      <w:r>
        <w:t>Slide 10 – Problematização: do portão para fora, do portão para dentro  (0:40; acumulado 5:54)</w:t>
      </w:r>
    </w:p>
    <w:p>
      <w:r>
        <w:t>A problematização pode ser visualizada neste contraste. Fora da escola, Pipa constitui um polo turístico conectado, no qual hospedagem, alimentação e passeios são comercializados pela internet. Dentro da escola, no momento do registro fotográfico, o laboratório apresentava os computadores desligados, e as salas de 1º e 2º anos não dispunham de qualquer dispositivo digital. O mesmo território abriga, portanto, circuitos de alta conectividade e uma escola pública que não dispõe desses recursos nas mesmas condições.</w:t>
      </w:r>
    </w:p>
    <w:p>
      <w:pPr>
        <w:pStyle w:val="Heading2"/>
      </w:pPr>
      <w:r>
        <w:t>Slide 11 – Questão norteadora e objetivos  (0:32; acumulado 6:26)</w:t>
      </w:r>
    </w:p>
    <w:p>
      <w:r>
        <w:t>Para responder à questão norteadora, defini três objetivos específicos, cada um correspondente a um capítulo. O primeiro examina o que a política promete e com que meios. O segundo caracteriza as condições territoriais e institucionais que recebem a política. O terceiro busca compreender como os profissionais interpretam e atuam diante da distância entre as exigências da norma e as condições disponíveis.</w:t>
      </w:r>
    </w:p>
    <w:p>
      <w:pPr>
        <w:pStyle w:val="Heading2"/>
      </w:pPr>
      <w:r>
        <w:t>Slide 12 – Contribuição inédita: discricionariedade substitutiva  (0:54; acumulado 7:20)</w:t>
      </w:r>
    </w:p>
    <w:p>
      <w:r>
        <w:t>Apresento agora a principal contribuição proposta. Discricionariedade designa a margem de decisão de que dispõem os servidores que atendem diretamente a população. Michael Lipsky demonstrou que, diante de recursos escassos, esses trabalhadores racionam o serviço, decidindo quem é atendido e em que ordem. Na escola investigada, entretanto, frequentemente não há o que racionar. A decisão, nesse caso, recai sobre aquilo que não existe: a profissional pode suprir com aparelho, conexão, conhecimento ou tempo próprios uma condição anunciada pela política e não assegurada à escola. Denomino essa situação discricionariedade substitutiva. Trata-se, neste momento, de uma proposição a ser examinada, e não de um resultado.</w:t>
      </w:r>
    </w:p>
    <w:p>
      <w:pPr>
        <w:pStyle w:val="Heading2"/>
      </w:pPr>
      <w:r>
        <w:t>Slide 13 – Três componentes e os riscos a analisar  (0:33; acumulado 7:53)</w:t>
      </w:r>
    </w:p>
    <w:p>
      <w:r>
        <w:t>A categoria é composta por três elementos que devem ocorrer simultaneamente: a ausência de recurso a distribuir, a substituição com meios próprios e o custo pessoal assumido diante de crianças e famílias com as quais a profissional convive no território. Entre os riscos a analisar, destaca-se o de que a substituição oculte a falta dos meios, fazendo a política parecer em curso.</w:t>
      </w:r>
    </w:p>
    <w:p>
      <w:pPr>
        <w:pStyle w:val="Heading2"/>
      </w:pPr>
      <w:r>
        <w:t>Slide 14 – Três formulações, dois estatutos  (0:20; acumulado 8:13)</w:t>
      </w:r>
    </w:p>
    <w:p>
      <w:r>
        <w:t>A tese opera com três formulações de estatutos distintos. O habitar digital e a rugosidade tecnológica constituem condições já documentadas no Capítulo 6. A discricionariedade substitutiva, por sua vez, é uma hipótese, a ser examinada nas entrevistas.</w:t>
      </w:r>
    </w:p>
    <w:p>
      <w:pPr>
        <w:pStyle w:val="Heading2"/>
      </w:pPr>
      <w:r>
        <w:t>Slide 15 – Onde os referenciais deixam de cobrir o caso  (0:29; acumulado 8:42)</w:t>
      </w:r>
    </w:p>
    <w:p>
      <w:r>
        <w:t>A proposição de uma nova categoria justifica-se pelo limite dos referenciais. A Abordagem do Ciclo de Políticas e a teoria de Lipsky pressupõem que os meios existam, ainda que de forma escassa. Em Pipa, não há dispositivos a racionar, e a decisão é tomada diante de famílias que a profissional reencontra fora da escola.</w:t>
      </w:r>
    </w:p>
    <w:p>
      <w:pPr>
        <w:pStyle w:val="Heading2"/>
      </w:pPr>
      <w:r>
        <w:t>Slide 16 – O motor teórico: duas engrenagens e o fosso entre elas  (1:05; acumulado 9:47)</w:t>
      </w:r>
    </w:p>
    <w:p>
      <w:r>
        <w:t>O quadro teórico pode ser representado por duas engrenagens. A primeira é a Abordagem do Ciclo de Políticas, formulada por Bowe, Ball e Gold e sistematizada no Brasil por Mainardes, segundo a qual a política não é simplesmente aplicada, mas interpretada e recriada no contexto da prática. A segunda é a teoria da burocracia de nível de rua, de Lipsky, que demonstra que as decisões cotidianas dos trabalhadores acabam por constituir a política efetivamente realizada. O ponto de encaixe entre ambas é a recontextualização, entendida como o processo pelo qual a política adquire sentidos particulares em cada lugar. Permanece, contudo, um fosso: nenhuma das duas abordagens nomeia a decisão sobre o que não chegou à escola. É nesse ponto que se situa a contribuição da tese.</w:t>
      </w:r>
    </w:p>
    <w:p>
      <w:pPr>
        <w:pStyle w:val="Heading2"/>
      </w:pPr>
      <w:r>
        <w:t>Slide 17 – Como a categoria pode falhar  (0:28; acumulado 10:15)</w:t>
      </w:r>
    </w:p>
    <w:p>
      <w:r>
        <w:t>Para que a hipótese seja verificável, registrei previamente, antes da primeira entrevista, as condições de confirmação, delimitação, renomeação e recusa da categoria. Caso, por exemplo, as narrativas descrevam revezamento no uso do kit multimídia, estaremos diante da discricionariedade alocativa descrita por Lipsky. A recusa da categoria também constituirá um resultado legítimo da pesquisa.</w:t>
      </w:r>
    </w:p>
    <w:p>
      <w:pPr>
        <w:pStyle w:val="Heading2"/>
      </w:pPr>
      <w:r>
        <w:t>Slide 18 – Ética, posição e reflexividade  (0:18; acumulado 10:33)</w:t>
      </w:r>
    </w:p>
    <w:p>
      <w:r>
        <w:t>No plano ético, a pesquisa observa as Resoluções nº 466 e nº 510 do Conselho Nacional de Saúde, adota pseudônimos escolhidos pelos participantes e não utiliza imagens com rostos de crianças.</w:t>
      </w:r>
    </w:p>
    <w:p>
      <w:pPr>
        <w:pStyle w:val="Heading2"/>
      </w:pPr>
      <w:r>
        <w:t>Slide 19 – A tessitura: os fios que sustentam a tese  (0:15; acumulado 10:48)</w:t>
      </w:r>
    </w:p>
    <w:p>
      <w:r>
        <w:t>Este quadro apresenta as frentes teóricas da tese e os capítulos em que cada uma é mobilizada, articulando política, território, cultura, condições de trabalho e método.</w:t>
      </w:r>
    </w:p>
    <w:p>
      <w:pPr>
        <w:pStyle w:val="Heading2"/>
      </w:pPr>
      <w:r>
        <w:t>Slide 20 – Parte II – Revisão sistemática  (0:07; acumulado 10:55)</w:t>
      </w:r>
    </w:p>
    <w:p>
      <w:r>
        <w:t>Passo à segunda parte, referente à revisão sistemática da literatura.</w:t>
      </w:r>
    </w:p>
    <w:p>
      <w:pPr>
        <w:pStyle w:val="Heading2"/>
      </w:pPr>
      <w:r>
        <w:t>Slide 21 – A RSL: questão norteadora e resposta  (0:53; acumulado 11:48)</w:t>
      </w:r>
    </w:p>
    <w:p>
      <w:r>
        <w:t>A revisão sistemática é um procedimento de busca e seleção com critérios explícitos e registrados, que permite a outro pesquisador reproduzir o percurso. Seguindo a declaração PRISMA 2020, foram consultadas sete bases, e, dos 176 registros identificados, nove estudos compuseram o corpus final. Os resultados indicam que a implementação dessas políticas depende da articulação entre recursos, condições institucionais e trabalho dos profissionais. Mais relevante, porém, é o que a literatura não examina: nenhum estudo trata da PNED, apenas um delimita o ciclo de alfabetização, e nenhum investiga redes municipais de pequeno porte. É nesse conjunto de lacunas que a tese se inscreve.</w:t>
      </w:r>
    </w:p>
    <w:p>
      <w:pPr>
        <w:pStyle w:val="Heading2"/>
      </w:pPr>
      <w:r>
        <w:t>Slide 22 – Parte III – Metodologia  (0:05; acumulado 11:53)</w:t>
      </w:r>
    </w:p>
    <w:p>
      <w:r>
        <w:t>Apresento, a seguir, o desenho metodológico.</w:t>
      </w:r>
    </w:p>
    <w:p>
      <w:pPr>
        <w:pStyle w:val="Heading2"/>
      </w:pPr>
      <w:r>
        <w:t>Slide 23 – Desenho: estudo de caso único, qualitativo  (0:31; acumulado 12:24)</w:t>
      </w:r>
    </w:p>
    <w:p>
      <w:r>
        <w:t>Trata-se de um estudo de caso único, de abordagem qualitativa, cujo interesse recai sobre os sentidos e as decisões, e não sobre a mensuração. São mobilizadas quatro fontes: o registro iconográfico, já realizado; a análise documental; o questionário de perfil; e as entrevistas semiestruturadas, que serão aplicadas após a aprovação da emenda pelo Comitê de Ética em Pesquisa.</w:t>
      </w:r>
    </w:p>
    <w:p>
      <w:pPr>
        <w:pStyle w:val="Heading2"/>
      </w:pPr>
      <w:r>
        <w:t>Slide 24 – Quem será ouvido  (0:28; acumulado 12:52)</w:t>
      </w:r>
    </w:p>
    <w:p>
      <w:r>
        <w:t>Participarão doze profissionais da educação: seis professoras regentes de 1º e 2º anos, quatro integrantes da coordenação pedagógica, uma pessoa da direção e uma da Secretaria Municipal de Educação. A escolha de posições diferentes decorre do fato de que cada uma recebe a política com margens de decisão e responsabilidades próprias.</w:t>
      </w:r>
    </w:p>
    <w:p>
      <w:pPr>
        <w:pStyle w:val="Heading2"/>
      </w:pPr>
      <w:r>
        <w:t>Slide 25 – Parte IV – Agenda internacional e PNED  (0:07; acumulado 12:59)</w:t>
      </w:r>
    </w:p>
    <w:p>
      <w:r>
        <w:t>A quarta parte trata da produção do texto da política.</w:t>
      </w:r>
    </w:p>
    <w:p>
      <w:pPr>
        <w:pStyle w:val="Heading2"/>
      </w:pPr>
      <w:r>
        <w:t>Slide 26 – A agenda internacional: das presenças às condições  (0:41; acumulado 13:40)</w:t>
      </w:r>
    </w:p>
    <w:p>
      <w:r>
        <w:t>A análise iniciou-se pelos organismos internacionais. A UNESCO registra que uma em cada quatro escolas primárias no mundo não dispõe de eletricidade. A OCDE considera, na melhor das hipóteses, misto o impacto dos computadores sobre o desempenho dos estudantes. O Banco Mundial, por sua vez, recomenda que se defina o problema educacional antes da escolha da tecnologia. Em comum, os três documentos deslocam o foco da presença dos recursos para as condições e as finalidades de seu uso.</w:t>
      </w:r>
    </w:p>
    <w:p>
      <w:pPr>
        <w:pStyle w:val="Heading2"/>
      </w:pPr>
      <w:r>
        <w:t>Slide 27 – Mapa das políticas de educação digital  (0:16; acumulado 13:56)</w:t>
      </w:r>
    </w:p>
    <w:p>
      <w:r>
        <w:t>Em seguida, foram analisadas dezenove experiências na Europa e nas Américas. O propósito não foi identificar modelos a serem importados, mas construir lentes de leitura para o caso brasileiro.</w:t>
      </w:r>
    </w:p>
    <w:p>
      <w:pPr>
        <w:pStyle w:val="Heading2"/>
      </w:pPr>
      <w:r>
        <w:t>Slide 28 – O que essas experiências trazem para a tese  (0:24; acumulado 14:20)</w:t>
      </w:r>
    </w:p>
    <w:p>
      <w:r>
        <w:t>Dessa comparação resultaram cinco categorias sensibilizadoras: governança, formação, infraestrutura, continuidade institucional e cultura digital. O caso peruano, por exemplo, demonstra que a distribuição de computadores não produziu, por si só, ganhos de aprendizagem. Cada categoria converte-se em uma questão a ser examinada no campo.</w:t>
      </w:r>
    </w:p>
    <w:p>
      <w:pPr>
        <w:pStyle w:val="Heading2"/>
      </w:pPr>
      <w:r>
        <w:t>Slide 29 – Quatro décadas até a PNED  (0:19; acumulado 14:39)</w:t>
      </w:r>
    </w:p>
    <w:p>
      <w:r>
        <w:t>No Brasil, as políticas de tecnologia educacional percorreram quatro décadas, do EDUCOM, nos anos 1980, ao ProInfo, ao PROUCA e às iniciativas de conectividade. Repetem-se, nesse percurso, problemas de manutenção e reposição de equipamentos.</w:t>
      </w:r>
    </w:p>
    <w:p>
      <w:pPr>
        <w:pStyle w:val="Heading2"/>
      </w:pPr>
      <w:r>
        <w:t>Slide 30 – Por que a PNED importa  (0:24; acumulado 15:03)</w:t>
      </w:r>
    </w:p>
    <w:p>
      <w:r>
        <w:t>É necessário reconhecer os méritos da PNED: a lei articula ações antes dispersas, inscreve a educação digital entre os deveres do Estado e associa-a aos direitos das crianças, determinando que as tecnologias fortaleçam, e não substituam, o papel de quem ensina e de quem aprende.</w:t>
      </w:r>
    </w:p>
    <w:p>
      <w:pPr>
        <w:pStyle w:val="Heading2"/>
      </w:pPr>
      <w:r>
        <w:t>Slide 31 – A PNED e o calendário da exigência  (0:31; acumulado 15:34)</w:t>
      </w:r>
    </w:p>
    <w:p>
      <w:r>
        <w:t>O calendário normativo evidencia a urgência da exigência. Em janeiro de 2023, o dispositivo que tornava a educação digital obrigatória foi vetado; em dezembro, o veto foi derrubado pelo Congresso. Em 2025, o Conselho Nacional de Educação determinou a elaboração dos novos currículos, cuja implementação tornou-se obrigatória em 2026, precisamente o período em que se realiza esta pesquisa.</w:t>
      </w:r>
    </w:p>
    <w:p>
      <w:pPr>
        <w:pStyle w:val="Heading2"/>
      </w:pPr>
      <w:r>
        <w:t>Slide 32 – A promessa e o desenho  (0:38; acumulado 16:12)</w:t>
      </w:r>
    </w:p>
    <w:p>
      <w:r>
        <w:t>Este é o principal achado da análise do texto legal. A PNED define-se como instância de articulação e não institui fundo próprio de financiamento. A conectividade das escolas está condicionada aos limites orçamentários de cada ente, e a formação de professores figura apenas como ação de promoção, sem definição de responsáveis, prazos ou custeio. Denomino esse desenho vazio material: a exigência curricular possui data definida, mas os meios para cumpri-la não.</w:t>
      </w:r>
    </w:p>
    <w:p>
      <w:pPr>
        <w:pStyle w:val="Heading2"/>
      </w:pPr>
      <w:r>
        <w:t>Slide 33 – Parte V – O território e a escola  (0:06; acumulado 16:18)</w:t>
      </w:r>
    </w:p>
    <w:p>
      <w:r>
        <w:t>A quinta parte dedica-se ao território e à escola.</w:t>
      </w:r>
    </w:p>
    <w:p>
      <w:pPr>
        <w:pStyle w:val="Heading2"/>
      </w:pPr>
      <w:r>
        <w:t>Slide 34 – A antiga Pipa: trabalho, moradia e mar  (0:24; acumulado 16:42)</w:t>
      </w:r>
    </w:p>
    <w:p>
      <w:r>
        <w:t>As imagens do Museu Digital de Pipa registram uma organização territorial em que trabalho, moradia e atividade marítima estavam espacialmente próximos. Para interpretá-las, recorro a Milton Santos e à noção de território usado, que compreende o espaço a partir das práticas sociais nele desenvolvidas.</w:t>
      </w:r>
    </w:p>
    <w:p>
      <w:pPr>
        <w:pStyle w:val="Heading2"/>
      </w:pPr>
      <w:r>
        <w:t>Slide 35 – As transformações: de vila a polo turístico  (0:21; acumulado 17:03)</w:t>
      </w:r>
    </w:p>
    <w:p>
      <w:r>
        <w:t>A partir da década de 1990, com o turismo associado ao surfe, Pipa tornou-se um destino de projeção internacional, recebendo investimentos e trabalhadores de outras regiões. Essas transformações, contudo, não apagaram as formas anteriores de uso do território.</w:t>
      </w:r>
    </w:p>
    <w:p>
      <w:pPr>
        <w:pStyle w:val="Heading2"/>
      </w:pPr>
      <w:r>
        <w:t>Slide 36 – A Pipa de hoje: um território conectado  (0:47; acumulado 17:50)</w:t>
      </w:r>
    </w:p>
    <w:p>
      <w:r>
        <w:t>O registro atual que apresento demonstra essa coexistência. Trata-se de um pescador descarregando o pescado na enseada, tendo ao fundo lanchas e escunas de passeio. A pesca não foi substituída pelo turismo; ambas as atividades compartilham o mesmo espaço marítimo. A própria embarcação expressa essa sobreposição, pois é de madeira e dispõe de motor de popa. Para a escola, isso significa atender crianças cujas famílias mantêm relações muito distintas com o mar, com o trabalho e com as tecnologias. Denomino habitar digital essa distribuição desigual das tecnologias no mesmo território.</w:t>
      </w:r>
    </w:p>
    <w:p>
      <w:pPr>
        <w:pStyle w:val="Heading2"/>
      </w:pPr>
      <w:r>
        <w:t>Slide 37 – A escola não se resume ao que falta  (0:15; acumulado 18:05)</w:t>
      </w:r>
    </w:p>
    <w:p>
      <w:r>
        <w:t>Cabe registrar que a escola não se define apenas pela ausência: ela dispõe de recursos de acessibilidade e de um parque integrado à vegetação de restinga.</w:t>
      </w:r>
    </w:p>
    <w:p>
      <w:pPr>
        <w:pStyle w:val="Heading2"/>
      </w:pPr>
      <w:r>
        <w:t>Slide 38 – Na escola: o que existe e onde está  (0:34; acumulado 18:39)</w:t>
      </w:r>
    </w:p>
    <w:p>
      <w:r>
        <w:t>Quanto aos recursos digitais, contudo, o quadro é distinto. O laboratório, que, segundo informações preliminares, foi montado pela Prefeitura em 2022, apresentava os computadores desligados no momento do registro; haveria um único kit multimídia para toda a escola; e as salas de 1º e 2º anos não dispunham de dispositivos digitais, predominando materiais impressos e artesanais. Essas informações serão verificadas na análise documental.</w:t>
      </w:r>
    </w:p>
    <w:p>
      <w:pPr>
        <w:pStyle w:val="Heading2"/>
      </w:pPr>
      <w:r>
        <w:t>Slide 39 – Rugosidade tecnológica: perda ou ausência?  (0:36; acumulado 19:15)</w:t>
      </w:r>
    </w:p>
    <w:p>
      <w:r>
        <w:t>Para interpretar a situação do laboratório, recorro à noção de rugosidade, de Milton Santos, que designa as formas herdadas de períodos anteriores e que permanecem no espaço. A questão é saber se o laboratório perdeu sua função, por falta de manutenção, ou se essa função nunca chegou a constituir-se, por ausência de formação e de tempo de planejamento. Cada hipótese demanda uma resposta de política pública distinta.</w:t>
      </w:r>
    </w:p>
    <w:p>
      <w:pPr>
        <w:pStyle w:val="Heading2"/>
      </w:pPr>
      <w:r>
        <w:t>Slide 40 – Contribuições analíticas do capítulo  (0:14; acumulado 19:29)</w:t>
      </w:r>
    </w:p>
    <w:p>
      <w:r>
        <w:t>Em síntese, o capítulo propõe compreender a escola como ponto de uma rede territorial e reconhecer a atuação dos profissionais sem romantizar o improviso.</w:t>
      </w:r>
    </w:p>
    <w:p>
      <w:pPr>
        <w:pStyle w:val="Heading2"/>
      </w:pPr>
      <w:r>
        <w:t>Slide 41 – Parte VI – O que ainda falta  (0:06; acumulado 19:35)</w:t>
      </w:r>
    </w:p>
    <w:p>
      <w:r>
        <w:t>Por fim, apresento as etapas que ainda serão realizadas.</w:t>
      </w:r>
    </w:p>
    <w:p>
      <w:pPr>
        <w:pStyle w:val="Heading2"/>
      </w:pPr>
      <w:r>
        <w:t>Slide 42 – Onde estamos e o que falta  (0:26; acumulado 20:01)</w:t>
      </w:r>
    </w:p>
    <w:p>
      <w:r>
        <w:t>Antes do trabalho de campo, restam a aprovação da emenda pelo Comitê de Ética, o registro formal dos critérios da categoria e a análise documental, que inclui a aquisição do laboratório, a conectividade, os cadernos de uso e a prestação de contas do programa federal de conectividade.</w:t>
      </w:r>
    </w:p>
    <w:p>
      <w:pPr>
        <w:pStyle w:val="Heading2"/>
      </w:pPr>
      <w:r>
        <w:t>Slide 43 – A questão aberta / Agradecimento  (0:39; acumulado 20:40)</w:t>
      </w:r>
    </w:p>
    <w:p>
      <w:r>
        <w:t>Concluo com a questão que orienta a tese. A política fez da educação digital um direito e deixou a provisão dos meios a cargo de cada ente federado. Quando o equipamento e a formação não chegam à escola, quem arca, no cotidiano escolar, com o custo dessa ausência? E o que isso representa para os direitos que a lei assegurou às crianças? Agradeço a atenção e coloco-me à disposição da banca para as contribuições.</w:t>
      </w:r>
    </w:p>
    <w:p>
      <w:pPr>
        <w:pStyle w:val="Heading2"/>
      </w:pPr>
      <w:r>
        <w:t>Slide 44 – Referências  (—; acumulado —)</w:t>
      </w:r>
    </w:p>
    <w:p>
      <w:r>
        <w:t>Slide de consulta; não apresentar.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