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É no espaço que se abre entre a educação digital garantida pela lei e as condições concretas de que a escola dispõe que esta tese se situa.</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t xml:space="preserve">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50-51).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e é por isso que as narrativas dos profissionais ocupam o centro da produção de dados.</w:t>
      </w:r>
    </w:p>
    <w:p>
      <w:pPr>
        <w:spacing w:line="360" w:lineRule="auto" w:after="0" w:before="0"/>
        <w:ind w:firstLine="709"/>
        <w:jc w:val="both"/>
      </w:pPr>
      <w:r>
        <w:rPr>
          <w:b w:val="0"/>
          <w:i w:val="0"/>
        </w:rPr>
        <w:t>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ficam, intencionalmente, fora do objeto empírico, reservados a pesquisas futuras.</w:t>
      </w:r>
    </w:p>
    <w:p>
      <w:pPr>
        <w:spacing w:line="360" w:lineRule="auto" w:after="0" w:before="0"/>
        <w:ind w:firstLine="709"/>
        <w:jc w:val="both"/>
      </w:pPr>
      <w:r>
        <w:rPr/>
        <w:t xml:space="preserve">Entre o texto oficial e o cotidiano escolar, as orientações encontram pessoas, limites institucionais, recursos desiguais e dinâmicas do território, e todos esses elementos interferem no modo como a norma ganha forma.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Ao chegar à Escola Municipal Domitila Castelo da Silva, o eixo Educação Digital Escolar será lido, adaptado e, possivelmente, transformado por quem trabalha nela, e a análise precisa acompanhar essas transformações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compreensão coerente com a escolha de tomar uma única escola como caso e de nela ouvir os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 xml:space="preserve">Com esse recorte, definimos o objeto desta pesquisa: a encenação da Política Nacional de Educação Digital, em seu eixo Educação Digital Escolar, pelos profissionais da educação que atuam nos anos iniciais do Ensino Fundamental, do 1º ao 5º ano, na Escola Municipal Domitila Castelo da Silva, em Pipa, distrito de Tibau do Sul, no litoral sul do Rio Grande do Norte. Chamamos de profissionais da educação as professoras e os professores do 1º ao 5º ano, a coordenação pedagógica, a direção e os demais profissionais ligados aos processos pedagógicos ou à educação digital. Interessam-nos os modos pelos quais a política é interpretada, traduzida e recontextualizada no contexto da prática, bem como o peso que têm nesse processo as culturas profissionais, as condições materiais e institucionais da escola e as especificidades socioespaciais do lugar onde ela está. O território, o funcionamento da escola e as condições de infraestrutura entram, assim, na análise como dimensões do contexto da prática, e as narrativas dos profissionais constituem o principal caminho para compreender como a política ganha forma no cotidiano escolar.</w:t>
      </w:r>
    </w:p>
    <w:p>
      <w:pPr>
        <w:spacing w:line="360" w:lineRule="auto" w:after="0" w:before="0"/>
        <w:ind w:firstLine="709"/>
        <w:jc w:val="both"/>
      </w:pPr>
      <w:r>
        <w:rPr/>
        <w:t xml:space="preserve">O objeto nos coloca diante de uma questão que atravessa a tese, a de saber o que acontece com uma política quando os direitos que ela institui não vêm acompanhados dos meios necessários para se realizarem.</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Por essa razão, escolhemos olhar a política a partir dessas pessoas.</w:t>
      </w:r>
    </w:p>
    <w:p>
      <w:pPr>
        <w:spacing w:line="360" w:lineRule="auto" w:after="0" w:before="0"/>
        <w:ind w:firstLine="709"/>
        <w:jc w:val="both"/>
      </w:pPr>
      <w:r>
        <w:rPr/>
        <w:t xml:space="preserve">A mesma política ganha formas diferentes em cada escola, e duas noções ajudam a compreender por quê. Ball, Maguire e Braun (2016, p. 38) incluem as culturas profissionais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Com a noção de performatividade, Ball (2004) descreve a cultura de metas, comparações e prestação de contas que passa a orientar o trabalho e a própria identidade dos profissionais da educação, e em outro texto a define como “um regime de prestação de contas que emprega julgamentos, comparações e exposições como meios de controle, desgaste e mudança” (BALL, 2008, p. 49, tradução nossa).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t xml:space="preserve">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74-75)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t xml:space="preserve">A delimitação do campo em Pipa acrescenta à pesquisa condições próprias do território. O distrito integra um município de pequeno porte e, na década de 1970, era uma comunidade agrícola e pesqueira, sem energia elétrica, água encanada e boas vias de acesso, que passou a receber surfistas a partir de meados daquela década e, com a divulgação mais intensa iniciada nos anos 1990, se tornou destino turístico internacional (AIRES, 2012, p. 81-82). Para compreendê-lo, recorremos a Milton Santos, para quem “o território não é uma categoria de análise, a categoria de análise é o território usado” (SANTOS, 1999, p. 19). O território usado, explica o autor, deve ser visto “como um campo de forças, como o lugar do exercício, de dialéticas e contradições entre o vertical e o horizontal, entre o Estado e o mercado, entre o uso econômico e o uso social dos recursos” (SANTOS, 1999, p. 20). Em Pipa, essa contradição tem expressão concreta. O distrito onde pousadas, restaurantes e passeios se vendem pela internet é o mesmo de onde as crianças saem, pela manhã, para salas de aula com carteiras enfileiradas, alfabeto móvel feito à mão e nenhuma tela, situação que Santos (2006, p. 163) ajuda a nomear quando observa que, com a difusão do meio técnico-científico-informacional, “distinguem-se zonas servidas pelos meios de conhecimento e áreas desprovidas dessa vantagem”.</w:t>
      </w:r>
    </w:p>
    <w:p>
      <w:pPr>
        <w:spacing w:line="360" w:lineRule="auto" w:after="0" w:before="0"/>
        <w:ind w:firstLine="709"/>
        <w:jc w:val="both"/>
      </w:pPr>
      <w:r>
        <w:rPr/>
        <w:t xml:space="preserve">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Com o turismo, casas e terrenos de nativos foram vendidos, trocados ou alugados a veranistas, surfistas e estrangeiros (AIRES, 2012, p. 79-80, 84), e os relatos reunidos pela autora incluem trabalhadoras vindas de localidades vizinhas para os serviços ligados ao turismo (AIRES, 2012, p. 16, 87).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 Massey ajuda, ainda, a evitar que a distância entre a escola e os circuitos turísticos seja lida como atraso, ao criticar a operação que “transforma a geografia em história, o espaço em tempo” (MASSEY, 2008, p. 24). Escola e polo turístico são contemporâneos, e o que os separa são relações que a análise precisará explicar.</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t xml:space="preserve">Esse desenho tende a pesar mais em municípios de pequeno porte, como aquele em que a pesquisa se desenvolve. Tratar a situação como simples falha de gestão local retiraria de cena o desenho da lei e tornaria invisível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Assumimos a mesma cautela, e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t xml:space="preserve">O desenho da lei, a capacidade da rede, o tempo de trabalho, as desigualdades do território e a lacuna da literatura convergem, assim, para o trabalho de mediação realizado pelos profissionais em suas diferentes posições, feito de interpretações, traduções, escolhas e limites, no qual a análise se concentra.</w:t>
      </w:r>
    </w:p>
    <w:p>
      <w:pPr>
        <w:pStyle w:val="Heading2"/>
      </w:pPr>
      <w:r>
        <w:t>1.3 QUESTÃO DE PESQUISA E OBJETIVOS</w:t>
      </w:r>
    </w:p>
    <w:p>
      <w:pPr>
        <w:spacing w:line="360" w:lineRule="auto" w:after="0" w:before="0"/>
        <w:ind w:firstLine="709"/>
        <w:jc w:val="both"/>
      </w:pPr>
      <w:r>
        <w:rPr>
          <w:b w:val="0"/>
          <w:i w:val="0"/>
        </w:rPr>
        <w:t xml:space="preserve">Desse percurso nasce a questão que orienta a investigação: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t xml:space="preserve">Formulamos a questão de modo a manter aberto o seu resultado. Ainda não sabemos se a PNED será acolhida, adaptada, posta de lado ou contestada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que poderá aparecer ou não nos dados e que, se aparecer, será lida em relação às condições em que se constitui, às demandas a que responde e aos efeitos que produz no cotidiano escolar.</w:t>
      </w:r>
    </w:p>
    <w:p>
      <w:pPr>
        <w:spacing w:line="360" w:lineRule="auto" w:after="0" w:before="0"/>
        <w:ind w:firstLine="709"/>
        <w:jc w:val="both"/>
      </w:pPr>
      <w:r>
        <w:rPr>
          <w:b w:val="0"/>
          <w:i w:val="0"/>
        </w:rPr>
        <w:t xml:space="preserve">O objetivo geral é 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 São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t xml:space="preserve">Os quatro objetivos acompanham o caminho que a política percorre até chegar às crianças. O primeiro se detém nos sujeitos e no modo como leem a política a partir do que já sabem, acreditam e praticam.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(ONU, 2021).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t xml:space="preserve">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e nela “a política é complexamente codificada em textos e artefatos e é decodificada (e recodificada) de forma igualmente complexa” (BALL; MAGUIRE; BRAUN, 2016, p. 14). Os autores propõem quatro dimensões do contexto (BALL; MAGUIRE; BRAUN, 2016, p. 38):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Para eles, “o contexto é uma força ‘ativa’, não é apenas um pano de fundo com os quais as escolas têm de operar” (BALL; MAGUIRE; BRAUN, 2016, p. 42). A performatividade (BALL, 2004, 2008)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Essas noções orientam o olhar sobre os dados sem antecipar o que será encontrado.</w:t>
      </w:r>
    </w:p>
    <w:p>
      <w:pPr>
        <w:spacing w:line="360" w:lineRule="auto" w:after="0" w:before="0"/>
        <w:ind w:firstLine="709"/>
        <w:jc w:val="both"/>
      </w:pPr>
      <w:r>
        <w:rPr/>
        <w:t xml:space="preserve">O território é lido com Santos e Massey. Em </w:t>
      </w:r>
      <w:r>
        <w:rPr>
          <w:i/>
        </w:rPr>
        <w:t xml:space="preserve">A natureza do espaço</w:t>
      </w:r>
      <w:r>
        <w:rPr/>
        <w:t xml:space="preserve">, Santos (2006, p. 12) compreende o espaço como conjunto indissociável de sistemas de objetos e de sistemas de ações e observa que “os sistemas de objetos condicionam a forma como se dão as ações” (SANTOS, 2006, p. 39). Os lugares guardam formas herdadas de outros períodos, que o autor chama de rugosidades, “o que fica do passado como forma, espaço construído, paisagem” (SANTOS, 2006, p. 92). Em </w:t>
      </w:r>
      <w:r>
        <w:rPr>
          <w:i/>
        </w:rPr>
        <w:t xml:space="preserve">Espaço e método</w:t>
      </w:r>
      <w:r>
        <w:rPr/>
        <w:t xml:space="preserve">, lembra que “as rugosidades – formas remanescentes dos períodos anteriores – devem ser levadas em conta quando uma sociedade procura impor novas funções” (SANTOS, 2012, p. 75). Massey, por sua vez, compreende o espaço “como a esfera da possibilidade da existência da multiplicidade, no sentido da pluralidade contemporânea, como a esfera na qual distintas trajetórias coexistem” (MASSEY, 2008, p. 29), o que permite ler Pipa como lugar de encontro de trajetórias que chegam à escola na forma das famílias e das crianças que ela atende.</w:t>
      </w:r>
    </w:p>
    <w:p>
      <w:pPr>
        <w:spacing w:line="360" w:lineRule="auto" w:after="0" w:before="0"/>
        <w:ind w:firstLine="709"/>
        <w:jc w:val="both"/>
      </w:pPr>
      <w:r>
        <w:rPr/>
        <w:t xml:space="preserve">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interessa pelo que permite compreender a fundo de uma realidade singular, sem pretensão de representar outras escolas.</w:t>
      </w:r>
    </w:p>
    <w:p>
      <w:pPr>
        <w:spacing w:line="360" w:lineRule="auto" w:after="0" w:before="0"/>
        <w:ind w:firstLine="709"/>
        <w:jc w:val="both"/>
      </w:pPr>
      <w:r>
        <w:rPr>
          <w:b w:val="0"/>
          <w:i w:val="0"/>
        </w:rPr>
        <w:t xml:space="preserve">Participam os profissionais da educação que atuam nos anos iniciais da escola e aceitarem o convite: docentes do 1º ao 5º ano, coordenação pedagógica, direção e demais profissionais ligados aos processos pedagógicos ou à educação digital, num total de 24 profissionais: o diretor, a vice-diretora, a coordenadora pedagógica, quatro profissionais do apoio pedagógico e dezessete docentes, dos quais quinze regentes e dois no apoio à recomposição de aula. Participa também um técnico da Secretaria Municipal de Educação, o coordenador de políticas públicas e programas educacionais do município. Sua escuta é fonte complementar sobre o contexto externo, isto é, sobre como as orientações nacionais são recebidas e encaminhadas pela gestão municipal antes de chegar à escola, e a unidade do estudo permanece na encenação da PNED na Escola Municipal Domitila Castelo da Silva.</w:t>
      </w:r>
    </w:p>
    <w:p>
      <w:pPr>
        <w:spacing w:line="360" w:lineRule="auto" w:after="0" w:before="0"/>
        <w:ind w:firstLine="709"/>
        <w:jc w:val="both"/>
      </w:pPr>
      <w:r>
        <w:rPr/>
        <w:t xml:space="preserve">Os dados serão construídos em cinco movimentos. O primeiro é a análise documental da Lei nº 14.533/2023, da Resolução CNE/CEB nº 2/2025, dos documentos curriculares, dos documentos da Secretaria Municipal de Educação e dos registros da escola, entre eles o Projeto Político-Pedagógico (PPP), os planos de aula, as atas e os registros de formação. O segundo é o registro iconográfico,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com os profissionais da escola e com o técnico da Secretaria,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imagens, questionário e entrevistas, e se encerra com a devolutiva dos resultados à escola e à Secretaria. A pesquisa não observa aulas, e as práticas chegam à análise pelas narrativas dos participantes, enquanto as condições materiais chegam pelos documentos e pelo registro iconográfico. Ball, Maguire e Braun (2016, p. 49) adotaram a mesma delimitação no estudo que deu origem à teoria da atuação: “a prática de sala de aula não era foco do estudo [...] nós temos de confiar nos relatos dos professores nessas questões”. O registro iconográfico e a consulta ao acervo histórico já foram realizados e sustentam o Capítulo 6. Os demais movimentos dependem da aprovação, pelo Comitê de Ética em Pesquisa, da emenda ao protocolo já aprovado.</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t xml:space="preserve">A palavra “resistências” está no título da tese por escolha deliberada, que pede um cuidado correspondente. A resistência será tratada como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Foucault dá a essa abertura um estatuto teórico. Ball, Maguire e Braun recorrem a ele ao tratar a política como “uma certa economia de discursos da verdade” (FOUCAULT, 1980, p. 93 apud BALL; MAGUIRE; BRAUN, 2016, p. 21), e em </w:t>
      </w:r>
      <w:r>
        <w:rPr>
          <w:i/>
        </w:rPr>
        <w:t xml:space="preserve">Vigiar e punir</w:t>
      </w:r>
      <w:r>
        <w:rPr/>
        <w:t xml:space="preserve"> o autor mostra que as relações de poder “não são unívocas; definem inúmeros pontos de luta, focos de instabilidade comportando cada um seus riscos de conflito, de lutas e de inversão pelo menos transitória da relação de forças” (FOUCAULT, 1999, p. 29). A resistência pertence, assim, às relações de poder que a política mobiliza na escola e pode aparecer sem ser pressuposta. Ball (2011, p. 46) adverte, por outro lado, contra os estudos em que os sujeitos “emergem, resistentes e românticos, heróis althusserianos lutando contra a opressão”, e a análise procurará descrever o que os profissionais fazem e as condições que tornam necessárias as suas escolhas, sem culpá-los nem celebrá-los.</w:t>
      </w:r>
    </w:p>
    <w:p>
      <w:pPr>
        <w:spacing w:line="360" w:lineRule="auto" w:after="0" w:before="0"/>
        <w:ind w:firstLine="709"/>
        <w:jc w:val="both"/>
      </w:pPr>
      <w:r>
        <w:rPr/>
        <w:t xml:space="preserve">A tese propõe ainda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i/>
        </w:rPr>
        <w:t xml:space="preserve">O habitar do ensinar e do aprender OnLIFE</w:t>
      </w:r>
      <w:r>
        <w:rPr/>
        <w:t xml:space="preserve">, obra organizada por Schlemmer </w:t>
      </w:r>
      <w:r>
        <w:rPr>
          <w:i/>
        </w:rPr>
        <w:t xml:space="preserve">et al.</w:t>
      </w:r>
      <w:r>
        <w:rPr/>
        <w:t xml:space="preserve"> (2021), o capítulo de abertura lembra que habitar “tem o significado de estar presente” e que o habitar, “além de estar acompanhado do movimento, tem uma natureza relacional” (SCHLEMMER; BACKES; PALAGI, 2021, p. 15), e recorre a Di Felice para compreendê-lo “enquanto prática comunicativa” (SCHLEMMER; BACKES; PALAGI, 2021, p. 17). Em </w:t>
      </w:r>
      <w:r>
        <w:rPr>
          <w:i/>
        </w:rPr>
        <w:t xml:space="preserve">Paisagens pós-urbanas</w:t>
      </w:r>
      <w:r>
        <w:rPr/>
        <w:t xml:space="preserve">, Di Felice (2009) mostra como as tecnologias comunicativas transformam a relação entre sujeito, meios e território. Ao tratar da imprensa, afirma que “a invenção da escrita artificial coincide, de fato, com o surgimento de uma espacialidade artificial que marcará sobremaneira a Renascença e inaugurará um novo modo de habitar” (DI FELICE, 2009, p. 102), e, com as redes digitais, descreve um habitar atópico, realizado por meio de interações com interfaces, em ecossistemas informativos nos quais sujeito e território se relacionam em rede (DI FELICE, 2009, p. 20). Somadas às leituras de Santos e de Massey, essas contribuições permitem nomear uma tensão específica de Pipa, a coexistência de elevada densidade tecnológica nos circuitos econômicos e turísticos do distrito com uma disponibilidade muito mais limitada de tecnologias nos espaços pedagógicos da escola, que Santos (1999, p. 20-21) ajuda a entender como “dissonância entre os usos econômicos e os usos sociais dos mesmos recursos”.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num movimento que Santos descreve ao observar que a forma “freqüentemente permanece aguardando o próximo movimento dinâmico da sociedade, quando terá toda a probabilidade de ser chamada a cumprir uma nova função” (SANTOS, 2012, p. 74-75).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t xml:space="preserve">O ineditismo da pesquisa se mostra em três planos que se apoiam mutuamente. No plano empírico-temporal, a investigação acompanha a chegada da PNED à escola no momento em que a exigência curricular se torna obrigatória e ocupa uma lacuna identificada pela RSL, e Ball (2011, p. 38) lembra que a abordagem da trajetória “capta as formas pelas quais as políticas evoluem, se modificam e decaem ao longo do tempo e do espaço, assim como as suas incoerências”. No plano analítico-espacial, o território de Pipa entra na análise como dimensão constitutiva do contexto da prática, com o peso que Santos e Massey lhe atribuem. No plano teórico-conceitual, a tese articula a teoria da atuação, as culturas profissionais, a dimensão material da escola e a leitura do território, propõe a noção de habitar o digital e trata a distância entre a norma e a sala de aula como parte de uma relação política entre texto, contexto e sujeitos, sem classificá-la de imediato como falha, incapacidade ou resistência. É nesse encontro entre a PNED, uma escola, seus profissionais, suas condições materiais e um território específico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e nas condições institucionais de seu trabalho.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t xml:space="preserve">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2022), que localiza a lacuna ocupada pela tese. No terceiro,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a noção de habitar o digital; e a relação entre educação digital, culturas profissionais, performatividade e direitos da criança no ambiente digital.</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o território de Pipa como contexto da prática da educação digital”, damos materialidade às dimensões situacional e material do contexto e oferecemos a base para o objetivo específico (b), apresentando a história e as transformações do distrito, a diversidade de quem a escola atende e as condições materiais da escola, onde documentamos o habitar o digital e a rugosidade tecnológica.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jc w:val="center"/>
      </w:pPr>
      <w:r>
        <w:t>REFERÊNCIAS</w:t>
      </w:r>
    </w:p>
    <w:p>
      <w:pPr>
        <w:spacing w:line="240" w:lineRule="auto" w:after="240" w:before="0"/>
        <w:ind w:firstLine="0"/>
        <w:jc w:val="left"/>
      </w:pPr>
      <w:r>
        <w:rPr>
          <w:b w:val="0"/>
          <w:i w:val="0"/>
        </w:rPr>
        <w:t xml:space="preserve">AIRES, Jussara Danielle Martins. </w:t>
      </w:r>
      <w:r>
        <w:rPr>
          <w:b/>
          <w:i w:val="0"/>
        </w:rPr>
        <w:t xml:space="preserve">Histórias e relatos sobre Pipa</w:t>
      </w:r>
      <w:r>
        <w:rPr>
          <w:b w:val="0"/>
          <w:i w:val="0"/>
        </w:rPr>
        <w:t xml:space="preserve">: a praia internacional do Rio Grande do Norte. 2012. 114 f. Dissertação (Mestrado em Ciências Sociais) – Programa de Pós-Graduação em Ciências Sociais, Universidade Federal do Rio Grande do Norte, Natal, 2012.</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w:t>
      </w:r>
      <w:r>
        <w:rPr>
          <w:b/>
          <w:i w:val="0"/>
        </w:rPr>
        <w:t xml:space="preserve">The education debate</w:t>
      </w:r>
      <w:r>
        <w:rPr>
          <w:b w:val="0"/>
          <w:i w:val="0"/>
        </w:rPr>
        <w:t xml:space="preserve">. Bristol: The Policy Press, 2008.</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FOUCAULT, Michel. </w:t>
      </w:r>
      <w:r>
        <w:rPr>
          <w:b/>
          <w:i w:val="0"/>
        </w:rPr>
        <w:t xml:space="preserve">Vigiar e punir</w:t>
      </w:r>
      <w:r>
        <w:rPr>
          <w:b w:val="0"/>
          <w:i w:val="0"/>
        </w:rPr>
        <w:t xml:space="preserve">: nascimento da prisão. Tradução de Raquel Ramalhete. 20. ed. Petrópolis: Vozes, 1999.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xml:space="preserve">: uma nova política da espacialidade. Tradução de Hilda Pareto Maciel e Rogério Haesbaert.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a ascensão dos dados e a morte da política.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xml:space="preserve">: técnica e tempo, razão e emoção. 4. ed. 2. reimpr. São Paulo: Editora da Universidade de São Paulo,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Marques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SCHLEMMER, Eliane; BACKES, Luciana; PALAGI, Ana Maria Marques. O habitar do ensinar e do aprender OnLIFE: vivências na educação contemporânea. In: 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 p. 15-34.</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