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jc w:val="center"/>
      </w:pPr>
      <w:r>
        <w:rPr>
          <w:b/>
          <w:i w:val="0"/>
        </w:rPr>
        <w:t>UNIVERSIDADE FEDERAL DO RIO GRANDE DO NORTE</w:t>
      </w:r>
    </w:p>
    <w:p>
      <w:pPr>
        <w:spacing w:line="360" w:lineRule="auto" w:after="0" w:before="0"/>
        <w:ind w:firstLine="0"/>
        <w:jc w:val="center"/>
      </w:pPr>
      <w:r>
        <w:rPr>
          <w:b/>
          <w:i w:val="0"/>
        </w:rPr>
        <w:t>CENTRO DE EDUCAÇÃO</w:t>
      </w:r>
    </w:p>
    <w:p>
      <w:pPr>
        <w:spacing w:line="360" w:lineRule="auto" w:after="0" w:before="0"/>
        <w:ind w:firstLine="0"/>
        <w:jc w:val="center"/>
      </w:pPr>
      <w:r>
        <w:rPr>
          <w:b/>
          <w:i w:val="0"/>
        </w:rPr>
        <w:t>PROGRAMA DE PÓS-GRADUAÇÃO EM EDUCAÇÃO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r>
        <w:br w:type="page"/>
      </w: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240" w:lineRule="auto" w:after="240" w:before="0"/>
        <w:ind w:firstLine="0" w:left="4535"/>
        <w:jc w:val="both"/>
      </w:pPr>
      <w:r>
        <w:rPr>
          <w:b w:val="0"/>
          <w:i w:val="0"/>
        </w:rPr>
        <w:t>Projeto de tese apresentado ao Programa de Pós-Graduação em Educação da Universidade Federal do Rio Grande do Norte, como parte dos requisitos do curso de Doutorado em Educação.</w:t>
      </w:r>
    </w:p>
    <w:p>
      <w:pPr>
        <w:spacing w:line="240" w:lineRule="auto" w:after="240" w:before="0"/>
        <w:ind w:firstLine="0" w:left="4535"/>
        <w:jc w:val="both"/>
      </w:pPr>
      <w:r>
        <w:rPr>
          <w:b w:val="0"/>
          <w:i w:val="0"/>
        </w:rPr>
        <w:t>Linha de pesquisa: [indicar].</w:t>
      </w:r>
    </w:p>
    <w:p>
      <w:pPr>
        <w:spacing w:line="240" w:lineRule="auto" w:after="0" w:before="0"/>
        <w:ind w:firstLine="0" w:left="4535"/>
        <w:jc w:val="both"/>
      </w:pPr>
      <w:r>
        <w:rPr>
          <w:b w:val="0"/>
          <w:i w:val="0"/>
        </w:rPr>
        <w:t>Orientadora: Profa. Dra. Maria Cristina Leandro de Paiva.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pPr>
        <w:pageBreakBefore/>
        <w:spacing w:after="360"/>
        <w:jc w:val="center"/>
      </w:pPr>
      <w:r>
        <w:rPr>
          <w:b/>
        </w:rPr>
        <w:t>SUMÁRIO</w:t>
      </w:r>
    </w:p>
    <w:p>
      <w:r>
        <w:fldChar w:fldCharType="begin"/>
      </w:r>
      <w:r>
        <w:instrText xml:space="preserve">TOC \o "1-2" \h \z \u</w:instrText>
      </w:r>
      <w:r>
        <w:fldChar w:fldCharType="separate"/>
      </w:r>
      <w:r>
        <w:t>Para gerar o sumário, clique com o botão direito aqui e escolha "Atualizar campo".</w:t>
      </w:r>
      <w:r>
        <w:fldChar w:fldCharType="end"/>
      </w:r>
    </w:p>
    <w:p>
      <w:pPr>
        <w:sectPr>
          <w:headerReference w:type="default" r:id="rId10"/>
          <w:pgSz w:w="11906" w:h="16838"/>
          <w:pgMar w:top="1701" w:right="1134" w:bottom="1134" w:left="1701" w:header="1134" w:footer="720" w:gutter="0"/>
          <w:cols w:space="720"/>
          <w:docGrid w:linePitch="360"/>
        </w:sectPr>
      </w:pPr>
    </w:p>
    <w:p>
      <w:pPr>
        <w:pStyle w:val="Heading1"/>
        <w:pageBreakBefore w:val="0"/>
      </w:pPr>
      <w:r>
        <w:t>1 OBJETO</w:t>
      </w:r>
    </w:p>
    <w:p>
      <w:pPr>
        <w:spacing w:line="360" w:lineRule="auto" w:after="0" w:before="0"/>
        <w:ind w:firstLine="709"/>
        <w:jc w:val="both"/>
      </w:pPr>
      <w:r>
        <w:rPr>
          <w:b w:val="0"/>
          <w:i w:val="0"/>
        </w:rPr>
        <w:t>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w:t>
      </w:r>
    </w:p>
    <w:p>
      <w:pPr>
        <w:spacing w:line="360" w:lineRule="auto" w:after="0" w:before="0"/>
        <w:ind w:firstLine="709"/>
        <w:jc w:val="both"/>
      </w:pPr>
      <w:r>
        <w:rPr>
          <w:b w:val="0"/>
          <w:i w:val="0"/>
        </w:rPr>
        <w:t>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e, ao mesmo tempo, é dela que nasce a pergunta sobre o que acontece com uma política nacional quando encontra uma escola situada, seus profissionais, suas condições e seu território.</w:t>
      </w:r>
    </w:p>
    <w:p>
      <w:pPr>
        <w:spacing w:line="360" w:lineRule="auto" w:after="0" w:before="0"/>
        <w:ind w:firstLine="709"/>
        <w:jc w:val="both"/>
      </w:pPr>
      <w:r>
        <w:rPr>
          <w:b w:val="0"/>
          <w:i w:val="0"/>
        </w:rPr>
        <w:t xml:space="preserve">Para ler esse encontro, recorremos à teoria da atuação de Ball, Maguire e Braun (2016), que traduzimos também por encenação, termo com que os estudos brasileiros têm vertido a palavra </w:t>
      </w:r>
      <w:r>
        <w:rPr>
          <w:b w:val="0"/>
          <w:i/>
        </w:rPr>
        <w:t>enactment</w:t>
      </w:r>
      <w:r>
        <w:rPr>
          <w:b w:val="0"/>
          <w:i w:val="0"/>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A ideia de encenação acentua esse caráter produtivo, já que, na escola, a política toma corpo nas falas, nos registros, nos arranjos de tempo e espaço e nas práticas de quem a recebe e precisa dar conta dela. É com esse entendimento que formulamos a questão que orienta a investigação.</w:t>
      </w:r>
    </w:p>
    <w:p>
      <w:pPr>
        <w:pStyle w:val="Heading1"/>
        <w:pageBreakBefore/>
      </w:pPr>
      <w:r>
        <w:t>2 QUESTÃO DE PESQUISA</w:t>
      </w:r>
    </w:p>
    <w:p>
      <w:pPr>
        <w:spacing w:line="360" w:lineRule="auto" w:after="0" w:before="0"/>
        <w:ind w:firstLine="709"/>
        <w:jc w:val="both"/>
      </w:pPr>
      <w:r>
        <w:rPr>
          <w:b w:val="0"/>
          <w:i w:val="0"/>
        </w:rPr>
        <w:t>A pergunta central da pesquisa é a seguinte: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pPr>
        <w:spacing w:line="360" w:lineRule="auto" w:after="0" w:before="0"/>
        <w:ind w:firstLine="709"/>
        <w:jc w:val="both"/>
      </w:pPr>
      <w:r>
        <w:rPr>
          <w:b w:val="0"/>
          <w:i w:val="0"/>
        </w:rPr>
        <w:t>Dessa questão decorrem o objetivo geral e os objetivos específicos que organizam o percurso da pesquisa.</w:t>
      </w:r>
    </w:p>
    <w:p>
      <w:pPr>
        <w:pStyle w:val="Heading1"/>
        <w:pageBreakBefore/>
      </w:pPr>
      <w:r>
        <w:t>3 OBJETIVOS</w:t>
      </w:r>
    </w:p>
    <w:p>
      <w:pPr>
        <w:pStyle w:val="Heading2"/>
      </w:pPr>
      <w:r>
        <w:t>3.1 OBJETIVO GERAL</w:t>
      </w:r>
    </w:p>
    <w:p>
      <w:pPr>
        <w:spacing w:line="360" w:lineRule="auto" w:after="0" w:before="0"/>
        <w:ind w:firstLine="709"/>
        <w:jc w:val="both"/>
      </w:pPr>
      <w:r>
        <w:rPr>
          <w:b w:val="0"/>
          <w:i w:val="0"/>
        </w:rPr>
        <w:t>Analisar como os profissionais da educação encenam e recontextualizam a Política Nacional de Educação Digital no contexto da prática da Escola Municipal Domitila Castelo, em Pipa (RN), considerando as relações entre a política, as culturas profissionais, as condições materiais e institucionais da escola e as especificidades socioespaciais do território.</w:t>
      </w:r>
    </w:p>
    <w:p>
      <w:pPr>
        <w:pStyle w:val="Heading2"/>
      </w:pPr>
      <w:r>
        <w:t>3.2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pPr>
        <w:pStyle w:val="Heading1"/>
        <w:pageBreakBefore/>
      </w:pPr>
      <w:r>
        <w:t>4 RELEVÂNCIA E INEDITISMO</w:t>
      </w:r>
    </w:p>
    <w:p>
      <w:pPr>
        <w:spacing w:line="360" w:lineRule="auto" w:after="0" w:before="0"/>
        <w:ind w:firstLine="709"/>
        <w:jc w:val="both"/>
      </w:pPr>
      <w:r>
        <w:rPr>
          <w:b w:val="0"/>
          <w:i w:val="0"/>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pPr>
        <w:spacing w:line="360" w:lineRule="auto" w:after="0" w:before="0"/>
        <w:ind w:firstLine="709"/>
        <w:jc w:val="both"/>
      </w:pPr>
      <w:r>
        <w:rPr>
          <w:b w:val="0"/>
          <w:i w:val="0"/>
        </w:rPr>
        <w:t>A pesquisa acontece, portanto, no momento em que esse conjunto de normas deixa o papel e começa a chegar às redes e às escolas. Em Tibau do Sul, como em muitos municípios de pequeno porte,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diria pouco sobre esse processo.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pPr>
        <w:pStyle w:val="Heading2"/>
      </w:pPr>
      <w:r>
        <w:t>4.1 INEDITISMO EMPÍRICO-TEMPORAL</w:t>
      </w:r>
    </w:p>
    <w:p>
      <w:pPr>
        <w:spacing w:line="360" w:lineRule="auto" w:after="0" w:before="0"/>
        <w:ind w:firstLine="709"/>
        <w:jc w:val="both"/>
      </w:pPr>
      <w:r>
        <w:rPr>
          <w:b w:val="0"/>
          <w:i w:val="0"/>
        </w:rPr>
        <w:t>A primeira dimensão diz respeito ao objeto e ao tempo em que ele é estudado. A pesquisa acompanha a chegada da PNED ao cotidiano escolar no período em que a educação digital e midiática começa a ser incorporada aos currículos de modo mais sistemático. Na revisão sistemática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w:t>
      </w:r>
    </w:p>
    <w:p>
      <w:pPr>
        <w:pStyle w:val="Heading2"/>
      </w:pPr>
      <w:r>
        <w:t>4.2 INEDITISMO ANALÍTICO-ESPACIAL</w:t>
      </w:r>
    </w:p>
    <w:p>
      <w:pPr>
        <w:spacing w:line="360" w:lineRule="auto" w:after="0" w:before="0"/>
        <w:ind w:firstLine="709"/>
        <w:jc w:val="both"/>
      </w:pPr>
      <w:r>
        <w:rPr>
          <w:b w:val="0"/>
          <w:i w:val="0"/>
        </w:rPr>
        <w:t>A segunda dimensão está no lugar que o território ocupa na análise. Pipa entra nesta pesquisa como parte do contexto em que a política é encenada. O distrito, que foi vila de pescadores e se transformou, a partir dos anos 1990, em destino turístico internacional, é hoje marcado pelo turismo, pela circulação de grupos sociais muito diferentes e por experiências desiguais de acesso, de uso e de participação na cultura digital. Para ler esse território, partimos de Santos (1999, p. 18), para quem “o território não é uma categoria de análise, a categoria de análise é o território usado”, isto é, o território tomado pelas relações, pelos usos e pelos conflitos que o constituem. Em diálogo com essa perspectiva, Massey (2008) compreende o espaço como a esfera da coexistência e da multiplicidade, feita de relações e de trajetórias que se encontram sem formar uma unidade homogênea, e pensa o lugar como encontro sempre em construção.</w:t>
      </w:r>
    </w:p>
    <w:p>
      <w:pPr>
        <w:spacing w:line="360" w:lineRule="auto" w:after="0" w:before="0"/>
        <w:ind w:firstLine="709"/>
        <w:jc w:val="both"/>
      </w:pPr>
      <w:r>
        <w:rPr>
          <w:b w:val="0"/>
          <w:i w:val="0"/>
        </w:rPr>
        <w:t>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Com Santos e Massey, perguntamos como as características do território entram nas relações pelas quais a política é interpretada e traduzida, sem atribuir ao lugar o poder de determinar o que a escola faz com ela.</w:t>
      </w:r>
    </w:p>
    <w:p>
      <w:pPr>
        <w:pStyle w:val="Heading2"/>
      </w:pPr>
      <w:r>
        <w:t>4.3 INEDITISMO TEÓRICO-CONCEITUAL</w:t>
      </w:r>
    </w:p>
    <w:p>
      <w:pPr>
        <w:spacing w:line="360" w:lineRule="auto" w:after="0" w:before="0"/>
        <w:ind w:firstLine="709"/>
        <w:jc w:val="both"/>
      </w:pPr>
      <w:r>
        <w:rPr>
          <w:b w:val="0"/>
          <w:i w:val="0"/>
        </w:rPr>
        <w:t>A terceira dimensão está na articulação entre a teoria da atuação, a discussão sobre culturas profissionais, a atenção à dimensão material da escola e a leitura do território para compreender uma política de educação digital. Os estudos reunidos na revisão sistemática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w:t>
      </w:r>
    </w:p>
    <w:p>
      <w:pPr>
        <w:spacing w:line="360" w:lineRule="auto" w:after="0" w:before="0"/>
        <w:ind w:firstLine="709"/>
        <w:jc w:val="both"/>
      </w:pPr>
      <w:r>
        <w:rPr>
          <w:b w:val="0"/>
          <w:i w:val="0"/>
        </w:rPr>
        <w:t>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pPr>
        <w:pStyle w:val="Heading1"/>
        <w:pageBreakBefore/>
      </w:pPr>
      <w:r>
        <w:t>5 REFERENCIAL TEÓRICO-METODOLÓGICO</w:t>
      </w:r>
    </w:p>
    <w:p>
      <w:pPr>
        <w:spacing w:line="360" w:lineRule="auto" w:after="0" w:before="0"/>
        <w:ind w:firstLine="709"/>
        <w:jc w:val="both"/>
      </w:pPr>
      <w:r>
        <w:rPr>
          <w:b w:val="0"/>
          <w:i w:val="0"/>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pPr>
        <w:pStyle w:val="Heading2"/>
      </w:pPr>
      <w:r>
        <w:t>5.1 A ABORDAGEM DO CICLO DE POLÍTICAS</w:t>
      </w:r>
    </w:p>
    <w:p>
      <w:pPr>
        <w:spacing w:line="360" w:lineRule="auto" w:after="0" w:before="0"/>
        <w:ind w:firstLine="709"/>
        <w:jc w:val="both"/>
      </w:pPr>
      <w:r>
        <w:rPr>
          <w:b w:val="0"/>
          <w:i w:val="0"/>
        </w:rPr>
        <w:t>A Abordagem do Ciclo de Políticas (ACP) constitui a matriz epistemológica a partir da qual compreendemos a trajetória da PNED. Na formulação inicial de Bowe,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pPr>
        <w:spacing w:line="360" w:lineRule="auto" w:after="0" w:before="0"/>
        <w:ind w:firstLine="709"/>
        <w:jc w:val="both"/>
      </w:pPr>
      <w:r>
        <w:rPr>
          <w:b w:val="0"/>
          <w:i w:val="0"/>
        </w:rPr>
        <w:t>Nesta pesquisa, o contexto da prática ocupa posição privilegiada. Tomamos a Escola Municipal Domitila Castelo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w:t>
      </w:r>
    </w:p>
    <w:p>
      <w:pPr>
        <w:pStyle w:val="Heading2"/>
      </w:pPr>
      <w:r>
        <w:t>5.2 A TEORIA DA ATUAÇÃO OU ENCENAÇÃO</w:t>
      </w:r>
    </w:p>
    <w:p>
      <w:pPr>
        <w:spacing w:line="360" w:lineRule="auto" w:after="0" w:before="0"/>
        <w:ind w:firstLine="709"/>
        <w:jc w:val="both"/>
      </w:pPr>
      <w:r>
        <w:rPr>
          <w:b w:val="0"/>
          <w:i w:val="0"/>
        </w:rPr>
        <w:t>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que orientarão a construção da análise. A dimensão situacional reúne a história da escola, sua localização e a composição de seu público, e é por ela que o território de Pipa e a trajetória da Escola Municipal Domitila Castelo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pPr>
        <w:spacing w:line="360" w:lineRule="auto" w:after="0" w:before="0"/>
        <w:ind w:firstLine="709"/>
        <w:jc w:val="both"/>
      </w:pPr>
      <w:r>
        <w:rPr>
          <w:b w:val="0"/>
          <w:i w:val="0"/>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pPr>
        <w:pStyle w:val="Heading2"/>
      </w:pPr>
      <w:r>
        <w:t>5.3 CULTURAS PROFISSIONAIS E PERFORMATIVIDADE</w:t>
      </w:r>
    </w:p>
    <w:p>
      <w:pPr>
        <w:spacing w:line="360" w:lineRule="auto" w:after="0" w:before="0"/>
        <w:ind w:firstLine="709"/>
        <w:jc w:val="both"/>
      </w:pPr>
      <w:r>
        <w:rPr>
          <w:b w:val="0"/>
          <w:i w:val="0"/>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pPr>
        <w:spacing w:line="360" w:lineRule="auto" w:after="0" w:before="0"/>
        <w:ind w:firstLine="709"/>
        <w:jc w:val="both"/>
      </w:pPr>
      <w:r>
        <w:rPr>
          <w:b w:val="0"/>
          <w:i w:val="0"/>
        </w:rPr>
        <w:t>A performatividade será trabalhada a partir de Ball (2004), que a descreve como uma cultura de metas, comparações, indicadores e prestação de contas capaz de orientar o trabalho e a própria identidade dos profissionais da educação.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determinadas imagens da escola ou de seu trabalho para responder a expectativas de avaliação, de registro ou de apresentação institucional.</w:t>
      </w:r>
    </w:p>
    <w:p>
      <w:pPr>
        <w:spacing w:line="360" w:lineRule="auto" w:after="0" w:before="0"/>
        <w:ind w:firstLine="709"/>
        <w:jc w:val="both"/>
      </w:pPr>
      <w:r>
        <w:rPr>
          <w:b w:val="0"/>
          <w:i w:val="0"/>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pPr>
        <w:pStyle w:val="Heading1"/>
        <w:pageBreakBefore/>
      </w:pPr>
      <w:r>
        <w:t>6 TERRITÓRIO, TÉCNICA E A PRODUÇÃO DO LUGAR</w:t>
      </w:r>
    </w:p>
    <w:p>
      <w:pPr>
        <w:spacing w:line="360" w:lineRule="auto" w:after="0" w:before="0"/>
        <w:ind w:firstLine="709"/>
        <w:jc w:val="both"/>
      </w:pPr>
      <w:r>
        <w:rPr>
          <w:b w:val="0"/>
          <w:i w:val="0"/>
        </w:rPr>
        <w:t xml:space="preserve">Para inscrever Pipa na análise, recorremos a Milton Santos e a Doreen Massey. Em </w:t>
      </w:r>
      <w:r>
        <w:rPr>
          <w:b w:val="0"/>
          <w:i/>
        </w:rPr>
        <w:t>A natureza do espaço</w:t>
      </w:r>
      <w:r>
        <w:rPr>
          <w:b w:val="0"/>
          <w:i w:val="0"/>
        </w:rPr>
        <w:t xml:space="preserve">, Santos (2006)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Pr>
          <w:b w:val="0"/>
          <w:i/>
        </w:rPr>
        <w:t>Pensando o espaço do homem</w:t>
      </w:r>
      <w:r>
        <w:rPr>
          <w:b w:val="0"/>
          <w:i w:val="0"/>
        </w:rPr>
        <w:t>, Santos (2004) reforça essa leitura ao tratar o espaço como acumulação desigual de tempos.</w:t>
      </w:r>
    </w:p>
    <w:p>
      <w:pPr>
        <w:spacing w:line="360" w:lineRule="auto" w:after="0" w:before="0"/>
        <w:ind w:firstLine="709"/>
        <w:jc w:val="both"/>
      </w:pPr>
      <w:r>
        <w:rPr>
          <w:b w:val="0"/>
          <w:i w:val="0"/>
        </w:rPr>
        <w:t>Essa perspectiva é especialmente produtiva para pensar uma escola situada num território onde convivem temporalidades tecnológicas diferentes. A Escola Municipal Domitila Castelo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pPr>
        <w:spacing w:line="360" w:lineRule="auto" w:after="0" w:before="0"/>
        <w:ind w:firstLine="709"/>
        <w:jc w:val="both"/>
      </w:pPr>
      <w:r>
        <w:rPr>
          <w:b w:val="0"/>
          <w:i w:val="0"/>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O distrito que foi vila de pescadores passou a receber, a partir dos anos 1990, o turismo ligado ao surfe, investimentos imobiliários nacionais e estrangeiros, trabalhadores atraídos pelo setor de serviços e, mais recentemente, pessoas que trabalham remotamente para empresas sediadas em outros lugares. Essas trajetórias se sobrepõem no território e chegam à escola na forma das famílias e das crianças que ela atende.</w:t>
      </w:r>
    </w:p>
    <w:p>
      <w:pPr>
        <w:spacing w:line="360" w:lineRule="auto" w:after="0" w:before="0"/>
        <w:ind w:firstLine="709"/>
        <w:jc w:val="both"/>
      </w:pPr>
      <w:r>
        <w:rPr>
          <w:b w:val="0"/>
          <w:i w:val="0"/>
        </w:rPr>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pPr>
        <w:pStyle w:val="Heading1"/>
        <w:pageBreakBefore/>
      </w:pPr>
      <w:r>
        <w:t>7 DA IDEIA DE HABITAR AO “HABITAR O DIGITAL”</w:t>
      </w:r>
    </w:p>
    <w:p>
      <w:pPr>
        <w:spacing w:line="360" w:lineRule="auto" w:after="0" w:before="0"/>
        <w:ind w:firstLine="709"/>
        <w:jc w:val="both"/>
      </w:pPr>
      <w:r>
        <w:rPr>
          <w:b w:val="0"/>
          <w:i w:val="0"/>
        </w:rPr>
        <w:t>A expressão “habitar o digital” é uma formulação própria desta tese. Ela resulta de um percurso teórico que reúne contribuições anteriores e as articula ao caso estudado, e por isso convém apresentar esse percurso e situar o que cada autor oferece.</w:t>
      </w:r>
    </w:p>
    <w:p>
      <w:pPr>
        <w:spacing w:line="360" w:lineRule="auto" w:after="0" w:before="0"/>
        <w:ind w:firstLine="709"/>
        <w:jc w:val="both"/>
      </w:pPr>
      <w:r>
        <w:rPr>
          <w:b w:val="0"/>
          <w:i w:val="0"/>
        </w:rPr>
        <w:t xml:space="preserve">O ponto de partida está na própria noção de habitar. Em </w:t>
      </w:r>
      <w:r>
        <w:rPr>
          <w:b w:val="0"/>
          <w:i/>
        </w:rPr>
        <w:t>O habitar do ensinar e do aprender OnLIFE</w:t>
      </w:r>
      <w:r>
        <w:rPr>
          <w:b w:val="0"/>
          <w:i w:val="0"/>
        </w:rPr>
        <w:t xml:space="preserve">, obra organizada por Schlemmer </w:t>
      </w:r>
      <w:r>
        <w:rPr>
          <w:b w:val="0"/>
          <w:i/>
        </w:rPr>
        <w:t>et al.</w:t>
      </w:r>
      <w:r>
        <w:rPr>
          <w:b w:val="0"/>
          <w:i w:val="0"/>
        </w:rPr>
        <w:t xml:space="preserve"> (2021), o habitar é tomado em sentido mais amplo que o de morar ou permanecer num lugar e aproxima-se da ideia de estar presente. Ele aparece como experiência relacional, constituída pelas relações entre sujeitos, ambientes, tecnologias e redes. Essa discussão dialoga com a obra de Massimo Di Felice. Em </w:t>
      </w:r>
      <w:r>
        <w:rPr>
          <w:b w:val="0"/>
          <w:i/>
        </w:rPr>
        <w:t>Paisagens pós-urbanas</w:t>
      </w:r>
      <w:r>
        <w:rPr>
          <w:b w:val="0"/>
          <w:i w:val="0"/>
        </w:rPr>
        <w:t xml:space="preserve">, Di Felice (2009) retoma a tradição filosófica do habitar, que remonta a Heidegger, e pensa o habitar como prática comunicativa, mostrando como as diferentes tecnologias transformam a relação entre o sujeito, os meios de comunicação e o território. Com as redes digitais, o autor descreve um habitar atópico, em que a experiência habitativa passa a envolver interfaces, fluxos informativos e relações que não se reduzem ao espaço físico. Schlemmer </w:t>
      </w:r>
      <w:r>
        <w:rPr>
          <w:b w:val="0"/>
          <w:i/>
        </w:rPr>
        <w:t>et al.</w:t>
      </w:r>
      <w:r>
        <w:rPr>
          <w:b w:val="0"/>
          <w:i w:val="0"/>
        </w:rPr>
        <w:t xml:space="preserve"> (2021) levam essa discussão para o campo educacional ao pensar o ensinar e o aprender numa realidade marcada pela digitalidade e pela conectividade.</w:t>
      </w:r>
    </w:p>
    <w:p>
      <w:pPr>
        <w:spacing w:line="360" w:lineRule="auto" w:after="0" w:before="0"/>
        <w:ind w:firstLine="709"/>
        <w:jc w:val="both"/>
      </w:pPr>
      <w:r>
        <w:rPr>
          <w:b w:val="0"/>
          <w:i w:val="0"/>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pPr>
        <w:spacing w:line="360" w:lineRule="auto" w:after="0" w:before="0"/>
        <w:ind w:firstLine="709"/>
        <w:jc w:val="both"/>
      </w:pPr>
      <w:r>
        <w:rPr>
          <w:b w:val="0"/>
          <w:i w:val="0"/>
        </w:rPr>
        <w:t>Por essa razão, habitar o digital é, nesta tese, mais do que acesso à internet ou posse de equipamentos.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longo da investigação. A segunda pergunta leva diretamente aos direitos das crianças no ambiente digital.</w:t>
      </w:r>
    </w:p>
    <w:p>
      <w:pPr>
        <w:pStyle w:val="Heading1"/>
        <w:pageBreakBefore/>
      </w:pPr>
      <w:r>
        <w:t>8 EDUCAÇÃO DIGITAL E DIREITOS DAS CRIANÇAS</w:t>
      </w:r>
    </w:p>
    <w:p>
      <w:pPr>
        <w:spacing w:line="360" w:lineRule="auto" w:after="0" w:before="0"/>
        <w:ind w:firstLine="709"/>
        <w:jc w:val="both"/>
      </w:pPr>
      <w:r>
        <w:rPr>
          <w:b w:val="0"/>
          <w:i w:val="0"/>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pPr>
        <w:spacing w:line="360" w:lineRule="auto" w:after="0" w:before="0"/>
        <w:ind w:firstLine="709"/>
        <w:jc w:val="both"/>
      </w:pPr>
      <w:r>
        <w:rPr>
          <w:b w:val="0"/>
          <w:i w:val="0"/>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pPr>
        <w:spacing w:line="360" w:lineRule="auto" w:after="0" w:before="0"/>
        <w:ind w:firstLine="709"/>
        <w:jc w:val="both"/>
      </w:pPr>
      <w:r>
        <w:rPr>
          <w:b w:val="0"/>
          <w:i w:val="0"/>
        </w:rPr>
        <w:t>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A participação refere-se às possibilidades de as crianças acessarem informação, produzirem, criarem, comunicarem-se, expressarem opiniões e tomarem parte da cultura digital como sujeitos. Com essas dimensões, buscaremos compreender como as diferentes formas de encenação da PNED na Escola Municipal Domitila Castelo podem ampliar, limitar ou reorganizar as possibilidades de as crianças de Pipa habitarem o digital. Para chegar a essa compreensão, a pesquisa adota o percurso metodológico apresentado a seguir.</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2004.</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Genebra: Organização das Nações Unidas, 2021.</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1999.</w:t>
      </w:r>
    </w:p>
    <w:p>
      <w:pPr>
        <w:spacing w:line="240" w:lineRule="auto" w:after="240" w:before="0"/>
        <w:ind w:firstLine="0"/>
        <w:jc w:val="left"/>
      </w:pPr>
      <w:r>
        <w:rPr>
          <w:b w:val="0"/>
          <w:i w:val="0"/>
        </w:rPr>
        <w:t xml:space="preserve">SANTOS, Milton. </w:t>
      </w:r>
      <w:r>
        <w:rPr>
          <w:b/>
          <w:i w:val="0"/>
        </w:rPr>
        <w:t>Pensando o espaço do homem</w:t>
      </w:r>
      <w:r>
        <w:rPr>
          <w:b w:val="0"/>
          <w:i w:val="0"/>
        </w:rPr>
        <w:t>. 5. ed. São Paulo: Editora da Universidade de São Paulo, 2004.</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2. reimpr. São Paulo: Editora da Universidade de São Paulo, 2006.</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sectPr w:rsidR="00FC693F" w:rsidRPr="0006063C" w:rsidSect="00034616">
      <w:headerReference w:type="default" r:id="rId9"/>
      <w:pgSz w:w="11906" w:h="16838"/>
      <w:pgMar w:top="1701" w:right="1134" w:bottom="1134" w:left="1701" w:header="1134"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3</w: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