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Relatório da revisão – ajuste fino de estilo, citações e Figura do pescador</w:t>
      </w:r>
    </w:p>
    <w:p>
      <w:r>
        <w:t>Este relatório acompanha os cinco arquivos corrigidos. Neles, o texto já está na forma final: apenas os trechos corrigidos ou acrescentados aparecem em amarelo; o que foi excluído não aparece mais. Introdução e Metodologia vieram em PDF; por isso seus arquivos foram reconstruídos em Word (a formatação é aproximada).</w:t>
      </w:r>
    </w:p>
    <w:p>
      <w:pPr>
        <w:pStyle w:val="Heading2"/>
      </w:pPr>
      <w:r>
        <w:t>1. O que aprendi com os textos de referência</w:t>
      </w:r>
    </w:p>
    <w:p>
      <w:r>
        <w:t>Os dois arquivos zipados são dissertações de mestrado (Dias, UNESP, 2024; Cilindro, UNEB, 2020), não teses de doutorado. Mesmo assim, servem como modelo de escrita acadêmica humana. Os traços que orientaram a revisão foram:</w:t>
      </w:r>
    </w:p>
    <w:p>
      <w:pPr>
        <w:pStyle w:val="ListBullet"/>
      </w:pPr>
      <w:r>
        <w:t>narração concreta do percurso de pesquisa (“pesquisamos”, “encontramos”, “constatamos”), em vez de fórmulas abstratas;</w:t>
      </w:r>
    </w:p>
    <w:p>
      <w:pPr>
        <w:pStyle w:val="ListBullet"/>
      </w:pPr>
      <w:r>
        <w:t>apresentação simples dos autores (“Para Moran (2003, p. 153):”, “Segundo Lemos (2019)”);</w:t>
      </w:r>
    </w:p>
    <w:p>
      <w:pPr>
        <w:pStyle w:val="ListBullet"/>
      </w:pPr>
      <w:r>
        <w:t>conectores acadêmicos usuais (contudo, nesse sentido, cabe ressaltar) e frases longas, encadeadas;</w:t>
      </w:r>
    </w:p>
    <w:p>
      <w:pPr>
        <w:pStyle w:val="ListBullet"/>
      </w:pPr>
      <w:r>
        <w:t>ressalvas feitas uma vez, no lugar certo, sem repetição a cada parágrafo;</w:t>
      </w:r>
    </w:p>
    <w:p>
      <w:pPr>
        <w:pStyle w:val="ListBullet"/>
      </w:pPr>
      <w:r>
        <w:t>ausência de frases de efeito curtas, de pares “não X, mas Y” em série e de conversões numéricas didáticas (“ou seja, de cada 10…”).</w:t>
      </w:r>
    </w:p>
    <w:p>
      <w:r>
        <w:t>Com base nisso, retirei marcas como “Vale salientar”, “É importante salientar”, “Ou seja”, “Isso quer dizer que”, “Diante do exposto”, as conversões “x em cada 10”, frases coloquiais (“não vamos fingir que temos”, “mostra uma coisa simples”, “conta muito”) e, sobretudo no Capítulo 6, a ressalva repetida a cada figura (“a fotografia não permite saber…”), que passou a ser declarada uma única vez na abertura do capítulo.</w:t>
      </w:r>
    </w:p>
    <w:p>
      <w:pPr>
        <w:pStyle w:val="Heading2"/>
      </w:pPr>
      <w:r>
        <w:t>2. Citações repetidas</w:t>
      </w:r>
    </w:p>
    <w:p>
      <w:r>
        <w:t>Seguindo a regra pedida, a citação direta fica na primeira ocorrência (ordem: Introdução, Cap. 2, Cap. 4, Cap. 5, Cap. 6) e as retomadas passam a indiretas, com remissão (“como vimos na Introdução”). Principais casos convertidos:</w:t>
      </w:r>
    </w:p>
    <w:p>
      <w:pPr>
        <w:pStyle w:val="ListBullet"/>
      </w:pPr>
      <w:r>
        <w:t>Lipsky (2019, p. 16, 17, 21, 59, 80 e 181): convertidas no Cap. 4, 5 e 6 e na seção 1.4;</w:t>
      </w:r>
    </w:p>
    <w:p>
      <w:pPr>
        <w:pStyle w:val="ListBullet"/>
      </w:pPr>
      <w:r>
        <w:t>Mainardes (2006, p. 52), Bowe, Ball e Gold (1992, p. 21 e 22), Ball (2011, p. 36), Ball, Maguire e Braun (2016, p. 14 e 75): Cap. 4 e 6;</w:t>
      </w:r>
    </w:p>
    <w:p>
      <w:pPr>
        <w:pStyle w:val="ListBullet"/>
      </w:pPr>
      <w:r>
        <w:t>Yin (2001, p. 32), Braun e Clarke (2019, p. 594), Freire (2019, p. 64-65 e 96), Marconi e Lakatos (2007, p. 52): Cap. 4 e 6;</w:t>
      </w:r>
    </w:p>
    <w:p>
      <w:pPr>
        <w:pStyle w:val="ListBullet"/>
      </w:pPr>
      <w:r>
        <w:t>Santos (1999, p. 18-19; 2006, p. 92; 2007, p. 14; 2012, p. 73-75), Massey (2008, p. 204), Valente (1999, p. 83 e 105): Cap. 6;</w:t>
      </w:r>
    </w:p>
    <w:p>
      <w:pPr>
        <w:pStyle w:val="ListBullet"/>
      </w:pPr>
      <w:r>
        <w:t>Ball (2008, p. 49): Cap. 5; incisos III e IV do art. 3º da PNED: Cap. 2, 4 e 5; art. 3º transcrito três vezes no Cap. 5: fica só no Quadro 5;</w:t>
      </w:r>
    </w:p>
    <w:p>
      <w:pPr>
        <w:pStyle w:val="ListBullet"/>
      </w:pPr>
      <w:r>
        <w:t>citação de Azoulay duplicada e parágrafo da Ação 6 do DEAP duplicado (Cap. 5).</w:t>
      </w:r>
    </w:p>
    <w:p>
      <w:pPr>
        <w:pStyle w:val="Heading2"/>
      </w:pPr>
      <w:r>
        <w:t>3. Figura do pescador (Capítulo 6)</w:t>
      </w:r>
    </w:p>
    <w:p>
      <w:r>
        <w:t>A foto entrou como nova Figura 21, logo depois da Figura 20 (passeios turísticos na baía), com descrição denotativa e análise em quatro parágrafos: continuidade da pesca em diálogo com as Figuras 3, 7 e 9; o barco de madeira com motor de popa como sobreposição de técnicas; limites do que uma única foto prova; e consequências para a escola e para as entrevistas. Também reescrevi os parágrafos que antes afirmavam a permanência da pesca sem evidência, que agora remetem à nova figura. As figuras seguintes foram renumeradas de 22 a 38 no texto.</w:t>
      </w:r>
    </w:p>
    <w:p>
      <w:r>
        <w:t>Pendências: (a) a imagem recebida tem um adesivo ilustrado no canto inferior direito, típico de publicação em rede social; use a versão original e confirme a autoria e a fonte; (b) o pescador está de costas, o que atende ao protocolo ético de não identificação; (c) atualize o índice do Apêndice A.</w:t>
      </w:r>
    </w:p>
    <w:p>
      <w:pPr>
        <w:pStyle w:val="Heading2"/>
      </w:pPr>
      <w:r>
        <w:t>4. Outras correções relevantes</w:t>
      </w:r>
    </w:p>
    <w:p>
      <w:pPr>
        <w:pStyle w:val="ListBullet"/>
      </w:pPr>
      <w:r>
        <w:t>Cap. 2 e Cap. 5: notas de avaliação/orientação coladas no início dos capítulos marcadas para exclusão (as orientações foram aplicadas).</w:t>
      </w:r>
    </w:p>
    <w:p>
      <w:pPr>
        <w:pStyle w:val="ListBullet"/>
      </w:pPr>
      <w:r>
        <w:t>Parágrafos duplicados excluídos: Introdução (dois), Metodologia (cronograma repetido), Cap. 5 (subseção “Da perspectiva comparada à PNED” inteira), Cap. 6 (Figura 13, laboratório, Santos 2007, Hall, rugosidade).</w:t>
      </w:r>
    </w:p>
    <w:p>
      <w:pPr>
        <w:pStyle w:val="ListBullet"/>
      </w:pPr>
      <w:r>
        <w:t>Numeração: seção 4.2.2 repetida (passa a 4.2.3); letras das subseções da 4.4 e da 4.5.1; questionário passa a Apêndice B; perguntas truncadas no roteiro (itens 8 e 30) e numeração do encerramento.</w:t>
      </w:r>
    </w:p>
    <w:p>
      <w:pPr>
        <w:pStyle w:val="ListBullet"/>
      </w:pPr>
      <w:r>
        <w:t>Cap. 6: informações preliminares apresentadas como fato (laboratório de 2022, “computador em uso”) harmonizadas com a regra da seção 4.1; frase truncada na seção 6.4.3; Quadro 3 com as duas colunas iguais na linha “Cultura digital”; Figuras 31 e 32 citadas com número errado.</w:t>
      </w:r>
    </w:p>
    <w:p>
      <w:pPr>
        <w:pStyle w:val="ListBullet"/>
      </w:pPr>
      <w:r>
        <w:t>Cap. 5: veto derrubado não mencionado antes de “desde a promulgação dessa parte”; citações com aspas quebradas (Ceibal, IISUE, Finlândia, OCDE); erros de concordância em células de quadro.</w:t>
      </w:r>
    </w:p>
    <w:p>
      <w:pPr>
        <w:pStyle w:val="ListBullet"/>
      </w:pPr>
      <w:r>
        <w:t>Referências: Introdução sem Ball (2011), Ball, Maguire e Braun (2016), Santos (1999 e 2012), Castells (2003) e Bauman (2001); Freire com ano divergente; Cap. 6 sem Machado (2021) e Soares (2020); Valente com 1999 e 2019 misturados; Buckingham com 2006 e 2007. As que constavam em outros capítulos foram copiadas; as demais ficaram como nota, porque não inventei dados bibliográficos.</w:t>
      </w:r>
    </w:p>
    <w:p>
      <w:pPr>
        <w:pStyle w:val="Heading2"/>
      </w:pPr>
      <w:r>
        <w:t>5. O que não foi feito</w:t>
      </w:r>
    </w:p>
    <w:p>
      <w:pPr>
        <w:pStyle w:val="ListBullet"/>
      </w:pPr>
      <w:r>
        <w:t>O Capítulo 3 e o Capítulo 7 não foram enviados; a numeração de quadros e figuras ao longo da tese precisa ser conferida com eles.</w:t>
      </w:r>
    </w:p>
    <w:p>
      <w:pPr>
        <w:pStyle w:val="ListBullet"/>
      </w:pPr>
      <w:r>
        <w:t>Não alterei dados, números, datas de normas nem o conteúdo das citações; apenas a forma de citar.</w:t>
      </w:r>
    </w:p>
    <w:p>
      <w:pPr>
        <w:pStyle w:val="ListBullet"/>
      </w:pPr>
      <w:r>
        <w:t>Os marcadores “[indicar …]” e “[verificar …]” que já existiam no texto foram mantidos.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