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 xml:space="preserve">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w:t>
      </w:r>
      <w:r>
        <w:rPr>
          <w:highlight w:val="yellow"/>
          <w:rtl w:val="0"/>
        </w:rPr>
        <w:t xml:space="preserve">corresponde aos contextos de influência e de produção do texto</w:t>
      </w:r>
      <w:r>
        <w:rPr>
          <w:rtl w:val="0"/>
        </w:rPr>
        <w:t xml:space="preserve"> e importa para a questão norteadora, pois o texto da lei define </w:t>
      </w:r>
      <w:r>
        <w:rPr>
          <w:highlight w:val="yellow"/>
          <w:rtl w:val="0"/>
        </w:rPr>
        <w:t xml:space="preserve">o que se pede à escola e </w:t>
      </w:r>
      <w:r>
        <w:rPr>
          <w:rtl w:val="0"/>
        </w:rPr>
        <w:t xml:space="preserve">com que meios o direito à educação digital chega </w:t>
      </w:r>
      <w:r>
        <w:rPr>
          <w:highlight w:val="yellow"/>
          <w:rtl w:val="0"/>
        </w:rPr>
        <w:t xml:space="preserve">até ela. Sem esse exame, não seria possível saber em relação a quê os profissionais interpretam, traduzem ou resistem, e por isso o capítulo oferece a base para os objetivos específicos (a), (c) e (d) da tese, que serão respondidos no contexto da prática</w:t>
      </w:r>
      <w:r>
        <w:rPr>
          <w:rtl w:val="0"/>
        </w:rPr>
        <w:t xml:space="preserve">. Nossa leitura parte de uma posição explícita: a PNED amplia o que se exige das escolas sem assegurar, na mesma medida, os meios para cumprir essas exigências, e o capítulo mostra onde essa distância se inscreve no texto. No fim dessa cadeia de decisões está uma sala </w:t>
      </w:r>
      <w:r>
        <w:rPr>
          <w:highlight w:val="yellow"/>
          <w:rtl w:val="0"/>
        </w:rPr>
        <w:t xml:space="preserve">dos anos iniciais</w:t>
      </w:r>
      <w:r>
        <w:rPr>
          <w:rtl w:val="0"/>
        </w:rPr>
        <w:t xml:space="preserve">, com crianças de seis </w:t>
      </w:r>
      <w:r>
        <w:rPr>
          <w:highlight w:val="yellow"/>
          <w:rtl w:val="0"/>
        </w:rPr>
        <w:t xml:space="preserve">a dez</w:t>
      </w:r>
      <w:r>
        <w:rPr>
          <w:rtl w:val="0"/>
        </w:rPr>
        <w:t xml:space="preserve">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highlight w:val="yellow"/>
          <w:rtl w:val="0"/>
        </w:rPr>
        <w:t xml:space="preserve">Dos</w:t>
      </w:r>
      <w:r>
        <w:rPr>
          <w:rtl w:val="0"/>
        </w:rPr>
        <w:t xml:space="preserve"> cinco contextos da Abordagem do Ciclo de Políticas (ACP), dois </w:t>
      </w:r>
      <w:r>
        <w:rPr>
          <w:highlight w:val="yellow"/>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 xml:space="preserve">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w:t>
      </w:r>
      <w:r>
        <w:rPr>
          <w:highlight w:val="yellow"/>
          <w:rtl w:val="0"/>
        </w:rPr>
        <w:t xml:space="preserve">O</w:t>
      </w:r>
      <w:r>
        <w:rPr>
          <w:rtl w:val="0"/>
        </w:rPr>
        <w:t xml:space="preserve"> Brasil mantém vínculos institucionais distintos com esses organismos e que suas orientações não chegam às políticas nacionais como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highlight w:val="yellow"/>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w:t>
      </w:r>
      <w:r>
        <w:rPr>
          <w:highlight w:val="yellow"/>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 xml:space="preserve">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e atuado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highlight w:val="yellow"/>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highlight w:val="yellow"/>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highlight w:val="yellow"/>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highlight w:val="yellow"/>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highlight w:val="yellow"/>
          <w:rtl w:val="0"/>
        </w:rPr>
        <w:t xml:space="preserve"></w:t>
      </w:r>
    </w:p>
    <w:p w:rsidR="00000000" w:rsidDel="00000000" w:rsidP="00000000" w:rsidRDefault="00000000" w:rsidRPr="00000000" w14:paraId="0000002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7.71653543307"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highlight w:val="yellow"/>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 xml:space="preserve">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w:t>
      </w:r>
      <w:r>
        <w:rPr>
          <w:highlight w:val="yellow"/>
          <w:rtl w:val="0"/>
        </w:rPr>
        <w:t xml:space="preserve">Esta</w:t>
      </w:r>
      <w:r>
        <w:rPr>
          <w:rtl w:val="0"/>
        </w:rPr>
        <w:t xml:space="preserve"> tese é qualitativa e interpretativa e que não avaliamos impacto sobre aprendizagens. </w:t>
      </w:r>
      <w:r>
        <w:rPr>
          <w:highlight w:val="yellow"/>
          <w:rtl w:val="0"/>
        </w:rPr>
        <w:t xml:space="preserve">Esses</w:t>
      </w:r>
      <w:r>
        <w:rPr>
          <w:rtl w:val="0"/>
        </w:rPr>
        <w:t xml:space="preserve"> estudos entram no capítulo com uma única função: tornar visíveis as contradições internas de políticas de orientação produtivista, que associaram a entrega de equipamentos à melhoria do desempenho. Eles não servem como métrica de validação do objeto desta pesquisa nem como parâmetro de julgamento da PNED, e nenhum de seus coeficientes será usado por nós para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highlight w:val="yellow"/>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highlight w:val="yellow"/>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highlight w:val="yellow"/>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highlight w:val="yellow"/>
          <w:rtl w:val="0"/>
        </w:rPr>
        <w:t xml:space="preserve">Como vimos no Capítulo 4, Ball (2008)</w:t>
      </w:r>
      <w:r>
        <w:rPr>
          <w:rtl w:val="0"/>
        </w:rPr>
        <w:t xml:space="preserve"> descreve a performatividade como</w:t>
      </w:r>
      <w:r>
        <w:rPr>
          <w:rtl w:val="0"/>
        </w:rPr>
        <w:t xml:space="preserve"> regime de prestação de contas que </w:t>
      </w:r>
      <w:r>
        <w:rPr>
          <w:highlight w:val="yellow"/>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7.71653543307"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highlight w:val="yellow"/>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7.71653543307"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highlight w:val="yellow"/>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7.71653543307"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7.71653543307"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7.71653543307"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highlight w:val="yellow"/>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highlight w:val="yellow"/>
          <w:rtl w:val="0"/>
        </w:rPr>
        <w:t xml:space="preserve"></w:t>
      </w:r>
    </w:p>
    <w:p w:rsidR="00000000" w:rsidDel="00000000" w:rsidP="00000000" w:rsidRDefault="00000000" w:rsidRPr="00000000" w14:paraId="00000097">
      <w:pPr>
        <w:spacing w:after="0" w:before="0" w:line="360" w:lineRule="auto"/>
        <w:ind w:firstLine="709"/>
        <w:jc w:val="both"/>
        <w:rPr/>
      </w:pPr>
      <w:r>
        <w:rPr>
          <w:highlight w:val="yellow"/>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highlight w:val="yellow"/>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7.71653543307"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highlight w:val="yellow"/>
          <w:rtl w:val="0"/>
        </w:rPr>
        <w:t xml:space="preserve">Nos</w:t>
      </w:r>
      <w:r>
        <w:rPr>
          <w:rtl w:val="0"/>
        </w:rPr>
        <w:t xml:space="preserve"> termos da ACP, essas questões recolocam a relação entre o texto da política e os contextos em que ele é interpretado. Como lembra Ball</w:t>
      </w:r>
      <w:r>
        <w:rPr>
          <w:highlight w:val="yellow"/>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7.71653543307"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 xml:space="preserve">Quadro  – Políticas públicas de educação digital na Europa: síntese analítica comparativa</w:t>
      </w: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na etapa da alfabetização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highlight w:val="yellow"/>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highlight w:val="yellow"/>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highlight w:val="yellow"/>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highlight w:val="yellow"/>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7.71653543307"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highlight w:val="yellow"/>
          <w:rtl w:val="0"/>
        </w:rPr>
        <w:t xml:space="preserve">.</w:t>
      </w:r>
    </w:p>
    <w:p w:rsidR="00000000" w:rsidDel="00000000" w:rsidP="00000000" w:rsidRDefault="00000000" w:rsidRPr="00000000" w14:paraId="000000F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highlight w:val="yellow"/>
          <w:rtl w:val="0"/>
        </w:rPr>
        <w:t xml:space="preserve">aos</w:t>
      </w:r>
      <w:r>
        <w:rPr>
          <w:rtl w:val="0"/>
        </w:rPr>
        <w:t xml:space="preserve"> profissionais, sem avaliar o saber </w:t>
      </w:r>
      <w:r>
        <w:rPr>
          <w:highlight w:val="yellow"/>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highlight w:val="yellow"/>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highlight w:val="yellow"/>
          <w:rtl w:val="0"/>
        </w:rPr>
        <w:t xml:space="preserve">, mas servem</w:t>
      </w:r>
      <w:r>
        <w:rPr>
          <w:rtl w:val="0"/>
        </w:rPr>
        <w:t xml:space="preserve"> de lente para compreender o trabalho dos </w:t>
      </w:r>
      <w:r>
        <w:rPr>
          <w:highlight w:val="yellow"/>
          <w:rtl w:val="0"/>
        </w:rPr>
        <w:t xml:space="preserve">profissionais da escola</w:t>
      </w:r>
      <w:r>
        <w:rPr>
          <w:rtl w:val="0"/>
        </w:rPr>
        <w:t xml:space="preserve">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7.71653543307"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highlight w:val="yellow"/>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w:t>
      </w:r>
      <w:r>
        <w:rPr>
          <w:highlight w:val="yellow"/>
          <w:rtl w:val="0"/>
        </w:rPr>
        <w:t xml:space="preserve">A importância do acesso não é negada, pois sem ele nada começa, mas ele deixa de ser tratado</w:t>
      </w:r>
      <w:r>
        <w:rPr>
          <w:rtl w:val="0"/>
        </w:rPr>
        <w:t xml:space="preserve"> como ponto de chegada. Dois estudantes podem ter o mesmo aparelho e a mesma conexão e viver experiências educacionais muito desiguais, conforme um seja convidado a criar e o outro apenas a repetir. Essa inversão de prioridades, do acesso para o uso, é </w:t>
      </w:r>
      <w:r>
        <w:rPr>
          <w:highlight w:val="yellow"/>
          <w:rtl w:val="0"/>
        </w:rPr>
        <w:t xml:space="preserve">a contribuição mais aproveitável do NETP para esta análise</w:t>
      </w:r>
      <w:r>
        <w:rPr>
          <w:rtl w:val="0"/>
        </w:rPr>
        <w:t xml:space="preserv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highlight w:val="yellow"/>
          <w:rtl w:val="0"/>
        </w:rPr>
        <w:t xml:space="preserve">RIVOIR; LAMSCHTEIN, </w:t>
      </w:r>
      <w:r>
        <w:rPr>
          <w:rtl w:val="0"/>
        </w:rPr>
        <w:t xml:space="preserve">2012, p. 9, tradução nossa). A decisão nasceu no país, e a proposta do MIT ofereceu o desenho técnico que ela procurava. O resultado foi um duplo pioneirismo</w:t>
      </w:r>
      <w:r>
        <w:rPr>
          <w:highlight w:val="yellow"/>
          <w:rtl w:val="0"/>
        </w:rPr>
        <w:t xml:space="preserve">, pois o Plan Ceibal esteve entre as</w:t>
      </w:r>
      <w:r>
        <w:rPr>
          <w:rtl w:val="0"/>
        </w:rPr>
        <w:t xml:space="preserve"> primeiras experiências a adotar o modelo da OLPC</w:t>
      </w:r>
      <w:r>
        <w:rPr>
          <w:highlight w:val="yellow"/>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highlight w:val="yellow"/>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highlight w:val="yellow"/>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highlight w:val="yellow"/>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highlight w:val="yellow"/>
          <w:rtl w:val="0"/>
        </w:rPr>
        <w:t xml:space="preserve">, embora o programa reunisse</w:t>
      </w:r>
    </w:p>
    <w:p w:rsidR="00000000" w:rsidDel="00000000" w:rsidP="00000000" w:rsidRDefault="00000000" w:rsidRPr="00000000" w14:paraId="0000014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7.71653543307" w:firstLine="0"/>
        <w:jc w:val="both"/>
        <w:rPr>
          <w:sz w:val="20"/>
          <w:szCs w:val="20"/>
        </w:rPr>
      </w:pPr>
      <w:r>
        <w:rPr>
          <w:sz w:val="20"/>
          <w:szCs w:val="20"/>
          <w:highlight w:val="yellow"/>
          <w:rtl w:val="0"/>
        </w:rPr>
        <w:t xml:space="preserve">“</w:t>
      </w:r>
      <w:r>
        <w:rPr>
          <w:sz w:val="20"/>
          <w:szCs w:val="20"/>
          <w:rtl w:val="0"/>
        </w:rPr>
        <w:t xml:space="preserve">as bases fundamentais para contribuir para melhorar a aprendizagem dos estudantes de educação básica mediante o uso de TIC</w:t>
      </w:r>
      <w:r>
        <w:rPr>
          <w:sz w:val="20"/>
          <w:szCs w:val="20"/>
          <w:highlight w:val="yellow"/>
          <w:rtl w:val="0"/>
        </w:rPr>
        <w:t xml:space="preserve">”, “</w:t>
      </w:r>
      <w:r>
        <w:rPr>
          <w:sz w:val="20"/>
          <w:szCs w:val="20"/>
          <w:rtl w:val="0"/>
        </w:rPr>
        <w:t xml:space="preserve">seu equipamento, desenho de material e a capacitação de docentes não bastam para melhorar o processo de ensino e aprendizagem</w:t>
      </w:r>
      <w:r>
        <w:rPr>
          <w:sz w:val="20"/>
          <w:szCs w:val="20"/>
          <w:highlight w:val="yellow"/>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highlight w:val="yellow"/>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 Políticas de educação digital nas Américas: síntese analítica comparativa </w:t>
      </w:r>
      <w:r w:rsidDel="00000000" w:rsidR="00000000" w:rsidRPr="00000000">
        <w:rPr>
          <w:rtl w:val="0"/>
        </w:rPr>
      </w:r>
    </w:p>
    <w:tbl>
      <w:tblPr>
        <w:tblStyle w:val="Table2"/>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highlight w:val="yellow"/>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4 – Categorias analíticas sensibilizadoras construídas a partir da perspectiva comparada </w:t>
      </w:r>
      <w:r w:rsidDel="00000000" w:rsidR="00000000" w:rsidRPr="00000000">
        <w:rPr>
          <w:rtl w:val="0"/>
        </w:rPr>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highlight w:val="yellow"/>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 contexto da alfabetização nos anos iniciais.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 xml:space="preserve">Em todos os casos, entre a formulação de uma política digital e os contextos em que ela atua, intervêm condições institucionais, culturas escolares, capacidades administrativas, trajetórias profissionais e desigualdades territoriais. É o que a ACP diz de qualquer política, e os casos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 xml:space="preserve">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4: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w:t>
      </w:r>
      <w:r>
        <w:rPr>
          <w:highlight w:val="yellow"/>
          <w:rtl w:val="0"/>
        </w:rPr>
        <w:t xml:space="preserve">Partimos da compreensão de</w:t>
      </w:r>
      <w:r>
        <w:rPr>
          <w:rtl w:val="0"/>
        </w:rPr>
        <w:t xml:space="preserve"> que, quando parte das condições não chega, a decisão sobre como a política se realiza se desloca para os profissionais da escola, que </w:t>
      </w:r>
      <w:r>
        <w:rPr>
          <w:highlight w:val="yellow"/>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highlight w:val="yellow"/>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highlight w:val="yellow"/>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highlight w:val="yellow"/>
          <w:rtl w:val="0"/>
        </w:rPr>
        <w:t xml:space="preserve">O dado, aparentemente menor, mostra que</w:t>
      </w:r>
      <w:r>
        <w:rPr>
          <w:rtl w:val="0"/>
        </w:rPr>
        <w:t xml:space="preserve"> já nesse primeiro momento um programa nacional </w:t>
      </w:r>
      <w:r>
        <w:rPr>
          <w:highlight w:val="yellow"/>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highlight w:val="yellow"/>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 xml:space="preserve">As duas iniciativas ampliam o olhar sobre a conectividade, que deixa de ser tratada apenas como infraestrutura e passa a se ligar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highlight w:val="yellow"/>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 </w:t>
      </w:r>
      <w:r w:rsidDel="00000000" w:rsidR="00000000" w:rsidRPr="00000000">
        <w:rPr>
          <w:b w:val="1"/>
          <w:bCs w:val="1"/>
          <w:sz w:val="20"/>
          <w:szCs w:val="20"/>
          <w:rtl w:val="0"/>
        </w:rPr>
        <w:t xml:space="preserve">Trajetória das políticas públicas de tecnologias digitais na educação básica brasileira (1983–2023) </w:t>
      </w:r>
      <w:r w:rsidDel="00000000" w:rsidR="00000000" w:rsidRPr="00000000">
        <w:rPr>
          <w:rtl w:val="0"/>
        </w:rPr>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highlight w:val="yellow"/>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highlight w:val="yellow"/>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highlight w:val="yellow"/>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highlight w:val="yellow"/>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highlight w:val="yellow"/>
          <w:rtl w:val="0"/>
        </w:rPr>
        <w:t xml:space="preserve">, voltada a </w:t>
      </w:r>
      <w:r>
        <w:rPr>
          <w:rtl w:val="0"/>
        </w:rPr>
        <w:t xml:space="preserve">potencializar os padrões e</w:t>
      </w:r>
      <w:r>
        <w:rPr>
          <w:rtl w:val="0"/>
        </w:rPr>
        <w:t xml:space="preserve"> os resultados das políticas </w:t>
      </w:r>
      <w:r>
        <w:rPr>
          <w:highlight w:val="yellow"/>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 xml:space="preserve">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5,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 xml:space="preserve">Nos anos iniciais do Ensino Fundamental, cada uma dessas dimensões envolve conhecimentos, recursos, decisões pedagógicas e formas de organização do trabalho não detalhados pela lei. Nos </w:t>
      </w:r>
      <w:r>
        <w:rPr>
          <w:highlight w:val="yellow"/>
          <w:rtl w:val="0"/>
        </w:rPr>
        <w:t xml:space="preserve">anos iniciais, a questão exige leitura cuidadosa, e nos dois primeiros anos</w:t>
      </w:r>
      <w:r>
        <w:rPr>
          <w:rtl w:val="0"/>
        </w:rPr>
        <w:t xml:space="preserve"> se torna mais aguda</w:t>
      </w:r>
      <w:r>
        <w:rPr>
          <w:rtl w:val="0"/>
        </w:rPr>
        <w:t xml:space="preserve">. Na sala estão crianças de seis </w:t>
      </w:r>
      <w:r>
        <w:rPr>
          <w:highlight w:val="yellow"/>
          <w:rtl w:val="0"/>
        </w:rPr>
        <w:t xml:space="preserve">a dez anos, e as menores acabam de chegar</w:t>
      </w:r>
      <w:r>
        <w:rPr>
          <w:rtl w:val="0"/>
        </w:rPr>
        <w:t xml:space="preserve"> à escolarização obrigatória e </w:t>
      </w:r>
      <w:r>
        <w:rPr>
          <w:highlight w:val="yellow"/>
          <w:rtl w:val="0"/>
        </w:rPr>
        <w:t xml:space="preserve">aprendem a ler e a escrever</w:t>
      </w:r>
      <w:r>
        <w:rPr>
          <w:rtl w:val="0"/>
        </w:rPr>
        <w:t xml:space="preserve">.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5,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highlight w:val="yellow"/>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5 – O eixo Educação Digital Escolar traduzido em exigências para os anos iniciais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highlight w:val="yellow"/>
                <w:rtl w:val="0"/>
              </w:rPr>
              <w:t xml:space="preserve">encenação</w:t>
            </w:r>
            <w:r>
              <w:rPr>
                <w:b w:val="1"/>
                <w:bCs w:val="1"/>
                <w:sz w:val="18"/>
                <w:szCs w:val="18"/>
                <w:rtl w:val="0"/>
              </w:rPr>
              <w:t xml:space="preserve"> da política</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highlight w:val="yellow"/>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highlight w:val="yellow"/>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 xml:space="preserve">O Quadro 5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highlight w:val="yellow"/>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highlight w:val="yellow"/>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highlight w:val="yellow"/>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highlight w:val="yellow"/>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highlight w:val="yellow"/>
          <w:rtl w:val="0"/>
        </w:rPr>
        <w:t xml:space="preserve">encenação</w:t>
      </w:r>
      <w:r>
        <w:rPr>
          <w:rtl w:val="0"/>
        </w:rPr>
        <w:t xml:space="preserve"> da política. </w:t>
      </w:r>
    </w:p>
    <w:p>
      <w:pPr>
        <w:spacing w:after="0" w:before="0" w:line="360" w:lineRule="auto"/>
        <w:ind w:firstLine="709"/>
        <w:jc w:val="both"/>
        <w:rPr/>
      </w:pPr>
      <w:r>
        <w:rPr>
          <w:highlight w:val="yellow"/>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highlight w:val="yellow"/>
          <w:rtl w:val="0"/>
        </w:rPr>
        <w:t xml:space="preserve">Há</w:t>
      </w:r>
      <w:r>
        <w:rPr>
          <w:rtl w:val="0"/>
        </w:rPr>
        <w:t xml:space="preserve">, no arcabouço alterado pela PNED, um dispositivo de </w:t>
      </w:r>
      <w:r>
        <w:rPr>
          <w:highlight w:val="yellow"/>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highlight w:val="yellow"/>
          <w:rtl w:val="0"/>
        </w:rPr>
        <w:t xml:space="preserve">aos profissionais dos anos iniciais</w:t>
      </w:r>
      <w:r>
        <w:rPr>
          <w:rtl w:val="0"/>
        </w:rPr>
        <w:t xml:space="preserve"> o ensino de pensamento computacional e de direitos digitais a crianças de seis </w:t>
      </w:r>
      <w:r>
        <w:rPr>
          <w:highlight w:val="yellow"/>
          <w:rtl w:val="0"/>
        </w:rPr>
        <w:t xml:space="preserve">a dez</w:t>
      </w:r>
      <w:r>
        <w:rPr>
          <w:rtl w:val="0"/>
        </w:rPr>
        <w:t xml:space="preserve"> anos sem garantia de formação prévia nesses conteúdos. Não avaliamos o saber </w:t>
      </w:r>
      <w:r>
        <w:rPr>
          <w:highlight w:val="yellow"/>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highlight w:val="yellow"/>
          <w:rtl w:val="0"/>
        </w:rPr>
        <w:t xml:space="preserve">5.6 SÍNTESE DO CAPÍTULO</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 xml:space="preserve">Essa leitura do texto confirma o limite dos referenciais discutido na Introdução e no Capítulo 4. A ACP permite ler o que a política promete e com que meios, e </w:t>
      </w:r>
      <w:r>
        <w:rPr>
          <w:highlight w:val="yellow"/>
          <w:rtl w:val="0"/>
        </w:rPr>
        <w:t xml:space="preserve">a teoria da atuação, o modo como as escolas interpretam e traduzem o que recebem. Nenhuma das duas trata com detalhe</w:t>
      </w:r>
      <w:r>
        <w:rPr>
          <w:rtl w:val="0"/>
        </w:rPr>
        <w:t xml:space="preserve"> da situação tornada possível pelo desenho da PNED, na qual a condição anunciada não chega à escola e</w:t>
      </w:r>
      <w:r>
        <w:rPr>
          <w:highlight w:val="yellow"/>
          <w:rtl w:val="0"/>
        </w:rPr>
        <w:t xml:space="preserve">, ainda assim, a escola precisa mostrar que a política acontece</w:t>
      </w:r>
      <w:r>
        <w:rPr>
          <w:rtl w:val="0"/>
        </w:rPr>
        <w:t xml:space="preserve">. As consequências desse desenho, já apresentadas como riscos na seção 1.4, ganham aqui seu fundamento normativo: a realização do eixo pode variar de uma turma para outra, o custo pode recair sobre o tempo de quem está na ponta e a falta dos meios pode desaparecer de vista justamente por ser coberta </w:t>
      </w:r>
      <w:r>
        <w:rPr>
          <w:highlight w:val="yellow"/>
          <w:rtl w:val="0"/>
        </w:rPr>
        <w:t xml:space="preserve">pelos profissionais ou por registros que mostram o eixo em andamento</w:t>
      </w:r>
      <w:r>
        <w:rPr>
          <w:rtl w:val="0"/>
        </w:rPr>
        <w:t xml:space="preserve">. No caso da PNED, essa distorção alcançaria a formação para a cidadania e a proteção prometidas às crianças.</w:t>
      </w:r>
    </w:p>
    <w:p w:rsidR="00000000" w:rsidDel="00000000" w:rsidP="00000000" w:rsidRDefault="00000000" w:rsidRPr="00000000" w14:paraId="00000297">
      <w:pPr>
        <w:spacing w:after="0" w:before="0" w:line="360" w:lineRule="auto"/>
        <w:ind w:firstLine="709"/>
        <w:jc w:val="both"/>
        <w:rPr/>
      </w:pPr>
      <w:r>
        <w:rPr>
          <w:rtl w:val="0"/>
        </w:rPr>
        <w:t xml:space="preserve">A composição do eixo deixa sem resposta as condições de sua realização. A PNED fixa objetivos e estratégias, liga-se a outras normas e distribui atribuições, sem indicar sempre quem faz, como faz e com que recursos. </w:t>
      </w:r>
      <w:r>
        <w:rPr>
          <w:highlight w:val="yellow"/>
          <w:rtl w:val="0"/>
        </w:rPr>
        <w:t xml:space="preserve">O</w:t>
      </w:r>
      <w:r>
        <w:rPr>
          <w:rtl w:val="0"/>
        </w:rPr>
        <w:t xml:space="preserve"> eixo Educação Digital Escolar foi constituído, nos contextos de influência e de produção do texto, como política de articulação, com finalidades amplas e com a provisão dos meios distribuída entre os entes, sem garantia de chegada à escola. A </w:t>
      </w:r>
      <w:r>
        <w:rPr>
          <w:rtl w:val="0"/>
        </w:rPr>
        <w:t xml:space="preserve">leitura do texto mostra</w:t>
      </w:r>
      <w:r>
        <w:rPr>
          <w:highlight w:val="yellow"/>
          <w:rtl w:val="0"/>
        </w:rPr>
        <w:t xml:space="preserve"> também</w:t>
      </w:r>
      <w:r>
        <w:rPr>
          <w:rtl w:val="0"/>
        </w:rPr>
        <w:t xml:space="preserve"> os pontos de maior tensão: as estratégias enunciadas sem responsáveis, prazos ou custeio</w:t>
      </w:r>
      <w:r>
        <w:rPr>
          <w:highlight w:val="yellow"/>
          <w:rtl w:val="0"/>
        </w:rPr>
        <w:t xml:space="preserve">,</w:t>
      </w:r>
      <w:r>
        <w:rPr>
          <w:rtl w:val="0"/>
        </w:rPr>
        <w:t xml:space="preserve"> as condições materiais repartidas entre os entes</w:t>
      </w:r>
      <w:r>
        <w:rPr>
          <w:highlight w:val="yellow"/>
          <w:rtl w:val="0"/>
        </w:rPr>
        <w:t xml:space="preserve"> e os instrumentos de diagnóstico que podem converter a educação digital em indicador a apresentar. É sobre esse texto que os profissionais da escola produzirão sentidos, e é com ele que as formas de atuação produzidas na escola serão comparadas no Capítulo 7</w:t>
      </w:r>
      <w:r>
        <w:rPr>
          <w:rtl w:val="0"/>
        </w:rPr>
        <w:t xml:space="preserve">. Antes disso, o Capítulo 6 caracteriza o território de Pipa e a escola onde essa promessa encontra crianças e </w:t>
      </w:r>
      <w:r>
        <w:rPr>
          <w:highlight w:val="yellow"/>
          <w:rtl w:val="0"/>
        </w:rPr>
        <w:t xml:space="preserve">profissionais concretos</w:t>
      </w:r>
      <w:r>
        <w:rPr>
          <w:rtl w:val="0"/>
        </w:rPr>
        <w:t xml:space="preserve">.</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pPr>
        <w:spacing w:after="0" w:before="0" w:line="240" w:lineRule="auto"/>
        <w:jc w:val="both"/>
        <w:rPr/>
      </w:pPr>
      <w:r>
        <w:rPr>
          <w:highlight w:val="yellow"/>
          <w:rtl w:val="0"/>
        </w:rPr>
        <w:t xml:space="preserve">BALL, Stephen J. The education debate. Bristol: The Policy Press, 2008.</w:t>
      </w:r>
    </w:p>
    <w:p>
      <w:pPr>
        <w:spacing w:after="0" w:before="0" w:line="240" w:lineRule="auto"/>
        <w:jc w:val="both"/>
        <w:rPr/>
      </w:pPr>
      <w:r>
        <w:rPr>
          <w:highlight w:val="yellow"/>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