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ROTEIRO DE FALA E ESTUDO DIRIGIDO DA QUALIFICAÇÃO</w:t>
      </w:r>
    </w:p>
    <w:p>
      <w:pPr>
        <w:jc w:val="center"/>
      </w:pPr>
      <w:r>
        <w:rPr>
          <w:i/>
        </w:rPr>
        <w:t>A encenação da PNED em Tibau do Sul/RN: da Secretaria Municipal de Educação à escola de Pipa, entre culturas profissionais, território e resistências</w:t>
        <w:br/>
      </w:r>
      <w:r>
        <w:t>Yzynya Silva Rezende Machado · Orientadora: Profa. Dra. Maria Cristina Leandro de Paiva</w:t>
        <w:br/>
        <w:t>Apresentação: Qualificacao_PNED_Pipa.pptx (32 slides; 23 de conteúdo) · Duração prevista: 25 minutos</w:t>
      </w:r>
    </w:p>
    <w:p>
      <w:pPr>
        <w:pStyle w:val="Heading1"/>
      </w:pPr>
      <w:r>
        <w:t>Como usar</w:t>
      </w:r>
    </w:p>
    <w:p>
      <w:pPr>
        <w:pStyle w:val="ListBullet"/>
      </w:pPr>
      <w:r>
        <w:t>No início, um mapa conceitual de toda a apresentação. Cada slide tem duas partes. A fala, na caixa azul, é o texto para dizer em voz alta, com o tempo previsto e o tempo acumulado. O estudo dirigido, logo abaixo, começa pelo mapa conceitual do slide e reúne a ideia central, os conceitos com a explicação que a tese adota, os autores e as páginas citadas, onde aprofundar na tese, perguntas de estudo (com a pista de resposta entre parênteses) e, quando houver, o cuidado sobre o que é fato, estimativa ou ainda a conferir.</w:t>
      </w:r>
    </w:p>
    <w:p>
      <w:pPr>
        <w:pStyle w:val="ListBullet"/>
      </w:pPr>
      <w:r>
        <w:t>A fala soma 3071 palavras, cerca de 25 minutos a 125 palavras por minuto, ritmo pausado. O restante dos 25 minutos fica para trocas de slide, pausas e o tempo de apontar fotos e mapa.</w:t>
      </w:r>
    </w:p>
    <w:p>
      <w:pPr>
        <w:pStyle w:val="ListBullet"/>
      </w:pPr>
      <w:r>
        <w:t>Pontos de controle: fim do slide 10 por volta de 08:35; fim do slide 18 por volta de 15:15; fim do slide 26 por volta de 21:50.</w:t>
      </w:r>
    </w:p>
    <w:p>
      <w:pPr>
        <w:pStyle w:val="ListBullet"/>
      </w:pPr>
      <w:r>
        <w:t>Indicações de cena aparecem em itálico, entre colchetes, e não devem ser lidas.</w:t>
      </w:r>
    </w:p>
    <w:p>
      <w:pPr>
        <w:pStyle w:val="ListBullet"/>
      </w:pPr>
      <w:r>
        <w:t>O conteúdo foi tirado dos capítulos e do projeto. Nenhuma página ou dado foi acrescentado fora do que está na tese; o que ainda precisa ser conferido está marcado e reunido no fim.</w:t>
      </w:r>
    </w:p>
    <w:p>
      <w:pPr>
        <w:pStyle w:val="ListBullet"/>
      </w:pPr>
      <w:r>
        <w:t>Sugestão de estudo: leia a fala em voz alta com cronômetro; depois, sem olhar, responda às perguntas de estudo do slide; por fim, abra a seção indicada em "Onde aprofundar" para os pontos em que hesitou.</w:t>
      </w:r>
    </w:p>
    <w:p>
      <w:pPr>
        <w:pStyle w:val="Heading1"/>
      </w:pPr>
      <w:r>
        <w:t>Mapa do tempo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color="auto" w:fill="FFCE32"/>
          </w:tcPr>
          <w:p>
            <w:r/>
            <w:r>
              <w:rPr>
                <w:b/>
              </w:rPr>
              <w:t>Bloco</w:t>
            </w:r>
          </w:p>
        </w:tc>
        <w:tc>
          <w:tcPr>
            <w:tcW w:type="dxa" w:w="2408"/>
            <w:shd w:val="clear" w:color="auto" w:fill="FFCE32"/>
          </w:tcPr>
          <w:p>
            <w:r/>
            <w:r>
              <w:rPr>
                <w:b/>
              </w:rPr>
              <w:t>Slides</w:t>
            </w:r>
          </w:p>
        </w:tc>
        <w:tc>
          <w:tcPr>
            <w:tcW w:type="dxa" w:w="2408"/>
            <w:shd w:val="clear" w:color="auto" w:fill="FFCE32"/>
          </w:tcPr>
          <w:p>
            <w:r/>
            <w:r>
              <w:rPr>
                <w:b/>
              </w:rPr>
              <w:t>Tempo</w:t>
            </w:r>
          </w:p>
        </w:tc>
        <w:tc>
          <w:tcPr>
            <w:tcW w:type="dxa" w:w="2408"/>
            <w:shd w:val="clear" w:color="auto" w:fill="FFCE32"/>
          </w:tcPr>
          <w:p>
            <w:r/>
            <w:r>
              <w:rPr>
                <w:b/>
              </w:rPr>
              <w:t>Acumulado</w:t>
            </w:r>
          </w:p>
        </w:tc>
      </w:tr>
      <w:tr>
        <w:tc>
          <w:tcPr>
            <w:tcW w:type="dxa" w:w="2408"/>
          </w:tcPr>
          <w:p>
            <w:r>
              <w:t>Abertura</w:t>
            </w:r>
          </w:p>
        </w:tc>
        <w:tc>
          <w:tcPr>
            <w:tcW w:type="dxa" w:w="2408"/>
          </w:tcPr>
          <w:p>
            <w:r>
              <w:t>1-2</w:t>
            </w:r>
          </w:p>
        </w:tc>
        <w:tc>
          <w:tcPr>
            <w:tcW w:type="dxa" w:w="2408"/>
          </w:tcPr>
          <w:p>
            <w:r>
              <w:t>01:00</w:t>
            </w:r>
          </w:p>
        </w:tc>
        <w:tc>
          <w:tcPr>
            <w:tcW w:type="dxa" w:w="2408"/>
          </w:tcPr>
          <w:p>
            <w:r>
              <w:t>01:00</w:t>
            </w:r>
          </w:p>
        </w:tc>
      </w:tr>
      <w:tr>
        <w:tc>
          <w:tcPr>
            <w:tcW w:type="dxa" w:w="2408"/>
          </w:tcPr>
          <w:p>
            <w:r>
              <w:t>Objeto, questão, objetivos e relevâncias</w:t>
            </w:r>
          </w:p>
        </w:tc>
        <w:tc>
          <w:tcPr>
            <w:tcW w:type="dxa" w:w="2408"/>
          </w:tcPr>
          <w:p>
            <w:r>
              <w:t>3-7</w:t>
            </w:r>
          </w:p>
        </w:tc>
        <w:tc>
          <w:tcPr>
            <w:tcW w:type="dxa" w:w="2408"/>
          </w:tcPr>
          <w:p>
            <w:r>
              <w:t>05:05</w:t>
            </w:r>
          </w:p>
        </w:tc>
        <w:tc>
          <w:tcPr>
            <w:tcW w:type="dxa" w:w="2408"/>
          </w:tcPr>
          <w:p>
            <w:r>
              <w:t>06:05</w:t>
            </w:r>
          </w:p>
        </w:tc>
      </w:tr>
      <w:tr>
        <w:tc>
          <w:tcPr>
            <w:tcW w:type="dxa" w:w="2408"/>
          </w:tcPr>
          <w:p>
            <w:r>
              <w:t>Revisão sistemática</w:t>
            </w:r>
          </w:p>
        </w:tc>
        <w:tc>
          <w:tcPr>
            <w:tcW w:type="dxa" w:w="2408"/>
          </w:tcPr>
          <w:p>
            <w:r>
              <w:t>8-10</w:t>
            </w:r>
          </w:p>
        </w:tc>
        <w:tc>
          <w:tcPr>
            <w:tcW w:type="dxa" w:w="2408"/>
          </w:tcPr>
          <w:p>
            <w:r>
              <w:t>02:30</w:t>
            </w:r>
          </w:p>
        </w:tc>
        <w:tc>
          <w:tcPr>
            <w:tcW w:type="dxa" w:w="2408"/>
          </w:tcPr>
          <w:p>
            <w:r>
              <w:t>08:35</w:t>
            </w:r>
          </w:p>
        </w:tc>
      </w:tr>
      <w:tr>
        <w:tc>
          <w:tcPr>
            <w:tcW w:type="dxa" w:w="2408"/>
          </w:tcPr>
          <w:p>
            <w:r>
              <w:t>Fundamentos teóricos</w:t>
            </w:r>
          </w:p>
        </w:tc>
        <w:tc>
          <w:tcPr>
            <w:tcW w:type="dxa" w:w="2408"/>
          </w:tcPr>
          <w:p>
            <w:r>
              <w:t>11-15</w:t>
            </w:r>
          </w:p>
        </w:tc>
        <w:tc>
          <w:tcPr>
            <w:tcW w:type="dxa" w:w="2408"/>
          </w:tcPr>
          <w:p>
            <w:r>
              <w:t>04:50</w:t>
            </w:r>
          </w:p>
        </w:tc>
        <w:tc>
          <w:tcPr>
            <w:tcW w:type="dxa" w:w="2408"/>
          </w:tcPr>
          <w:p>
            <w:r>
              <w:t>13:25</w:t>
            </w:r>
          </w:p>
        </w:tc>
      </w:tr>
      <w:tr>
        <w:tc>
          <w:tcPr>
            <w:tcW w:type="dxa" w:w="2408"/>
          </w:tcPr>
          <w:p>
            <w:r>
              <w:t>Metodologia</w:t>
            </w:r>
          </w:p>
        </w:tc>
        <w:tc>
          <w:tcPr>
            <w:tcW w:type="dxa" w:w="2408"/>
          </w:tcPr>
          <w:p>
            <w:r>
              <w:t>16-18</w:t>
            </w:r>
          </w:p>
        </w:tc>
        <w:tc>
          <w:tcPr>
            <w:tcW w:type="dxa" w:w="2408"/>
          </w:tcPr>
          <w:p>
            <w:r>
              <w:t>01:50</w:t>
            </w:r>
          </w:p>
        </w:tc>
        <w:tc>
          <w:tcPr>
            <w:tcW w:type="dxa" w:w="2408"/>
          </w:tcPr>
          <w:p>
            <w:r>
              <w:t>15:15</w:t>
            </w:r>
          </w:p>
        </w:tc>
      </w:tr>
      <w:tr>
        <w:tc>
          <w:tcPr>
            <w:tcW w:type="dxa" w:w="2408"/>
          </w:tcPr>
          <w:p>
            <w:r>
              <w:t>Agenda global e PNED</w:t>
            </w:r>
          </w:p>
        </w:tc>
        <w:tc>
          <w:tcPr>
            <w:tcW w:type="dxa" w:w="2408"/>
          </w:tcPr>
          <w:p>
            <w:r>
              <w:t>19-22</w:t>
            </w:r>
          </w:p>
        </w:tc>
        <w:tc>
          <w:tcPr>
            <w:tcW w:type="dxa" w:w="2408"/>
          </w:tcPr>
          <w:p>
            <w:r>
              <w:t>03:55</w:t>
            </w:r>
          </w:p>
        </w:tc>
        <w:tc>
          <w:tcPr>
            <w:tcW w:type="dxa" w:w="2408"/>
          </w:tcPr>
          <w:p>
            <w:r>
              <w:t>19:10</w:t>
            </w:r>
          </w:p>
        </w:tc>
      </w:tr>
      <w:tr>
        <w:tc>
          <w:tcPr>
            <w:tcW w:type="dxa" w:w="2408"/>
          </w:tcPr>
          <w:p>
            <w:r>
              <w:t>Do município à escola</w:t>
            </w:r>
          </w:p>
        </w:tc>
        <w:tc>
          <w:tcPr>
            <w:tcW w:type="dxa" w:w="2408"/>
          </w:tcPr>
          <w:p>
            <w:r>
              <w:t>23-26</w:t>
            </w:r>
          </w:p>
        </w:tc>
        <w:tc>
          <w:tcPr>
            <w:tcW w:type="dxa" w:w="2408"/>
          </w:tcPr>
          <w:p>
            <w:r>
              <w:t>02:40</w:t>
            </w:r>
          </w:p>
        </w:tc>
        <w:tc>
          <w:tcPr>
            <w:tcW w:type="dxa" w:w="2408"/>
          </w:tcPr>
          <w:p>
            <w:r>
              <w:t>21:50</w:t>
            </w:r>
          </w:p>
        </w:tc>
      </w:tr>
      <w:tr>
        <w:tc>
          <w:tcPr>
            <w:tcW w:type="dxa" w:w="2408"/>
          </w:tcPr>
          <w:p>
            <w:r>
              <w:t>Tese e encerramento</w:t>
            </w:r>
          </w:p>
        </w:tc>
        <w:tc>
          <w:tcPr>
            <w:tcW w:type="dxa" w:w="2408"/>
          </w:tcPr>
          <w:p>
            <w:r>
              <w:t>27-30</w:t>
            </w:r>
          </w:p>
        </w:tc>
        <w:tc>
          <w:tcPr>
            <w:tcW w:type="dxa" w:w="2408"/>
          </w:tcPr>
          <w:p>
            <w:r>
              <w:t>03:10</w:t>
            </w:r>
          </w:p>
        </w:tc>
        <w:tc>
          <w:tcPr>
            <w:tcW w:type="dxa" w:w="2408"/>
          </w:tcPr>
          <w:p>
            <w:r>
              <w:t>25:00</w:t>
            </w:r>
          </w:p>
        </w:tc>
      </w:tr>
      <w:tr>
        <w:tc>
          <w:tcPr>
            <w:tcW w:type="dxa" w:w="2408"/>
          </w:tcPr>
          <w:p>
            <w:r>
              <w:t>Referências</w:t>
            </w:r>
          </w:p>
        </w:tc>
        <w:tc>
          <w:tcPr>
            <w:tcW w:type="dxa" w:w="2408"/>
          </w:tcPr>
          <w:p>
            <w:r>
              <w:t>31-32</w:t>
            </w:r>
          </w:p>
        </w:tc>
        <w:tc>
          <w:tcPr>
            <w:tcW w:type="dxa" w:w="2408"/>
          </w:tcPr>
          <w:p>
            <w:r>
              <w:t>00:00</w:t>
            </w:r>
          </w:p>
        </w:tc>
        <w:tc>
          <w:tcPr>
            <w:tcW w:type="dxa" w:w="2408"/>
          </w:tcPr>
          <w:p>
            <w:r>
              <w:t>25:00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2408"/>
          </w:tcPr>
          <w:p>
            <w:r/>
            <w:r>
              <w:rPr>
                <w:b/>
              </w:rPr>
              <w:t>1-32</w:t>
            </w:r>
          </w:p>
        </w:tc>
        <w:tc>
          <w:tcPr>
            <w:tcW w:type="dxa" w:w="2408"/>
          </w:tcPr>
          <w:p>
            <w:r/>
            <w:r>
              <w:rPr>
                <w:b/>
              </w:rPr>
              <w:t>25:00</w:t>
            </w:r>
          </w:p>
        </w:tc>
        <w:tc>
          <w:tcPr>
            <w:tcW w:type="dxa" w:w="2408"/>
          </w:tcPr>
          <w:p>
            <w:r/>
            <w:r>
              <w:rPr>
                <w:b/>
              </w:rPr>
            </w:r>
          </w:p>
        </w:tc>
      </w:tr>
    </w:tbl>
    <w:p>
      <w:pPr>
        <w:pStyle w:val="Heading1"/>
      </w:pPr>
      <w:r>
        <w:t>Mapa conceitual da apresentação</w:t>
      </w:r>
    </w:p>
    <w:p>
      <w:r>
        <w:t>Como ler os mapas: o conceito central fica no retângulo azul; cada seta leva a um conceito ligado a ele, e a frase sobre a seta diz a relação (leia "conceito central + frase de ligação + conceito"). O retângulo amarelo é o desdobramento: aonde o slide leva. Cada slide de conteúdo tem o seu mapa no início do estudo dirigido.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7195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19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Índice de conceitos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color="auto" w:fill="FFCE32"/>
          </w:tcPr>
          <w:p>
            <w:r/>
            <w:r>
              <w:rPr>
                <w:b/>
              </w:rPr>
              <w:t>Conceito</w:t>
            </w:r>
          </w:p>
        </w:tc>
        <w:tc>
          <w:tcPr>
            <w:tcW w:type="dxa" w:w="2408"/>
            <w:shd w:val="clear" w:color="auto" w:fill="FFCE32"/>
          </w:tcPr>
          <w:p>
            <w:r/>
            <w:r>
              <w:rPr>
                <w:b/>
              </w:rPr>
              <w:t>Autor(es)</w:t>
            </w:r>
          </w:p>
        </w:tc>
        <w:tc>
          <w:tcPr>
            <w:tcW w:type="dxa" w:w="2408"/>
            <w:shd w:val="clear" w:color="auto" w:fill="FFCE32"/>
          </w:tcPr>
          <w:p>
            <w:r/>
            <w:r>
              <w:rPr>
                <w:b/>
              </w:rPr>
              <w:t>Seção da tese</w:t>
            </w:r>
          </w:p>
        </w:tc>
        <w:tc>
          <w:tcPr>
            <w:tcW w:type="dxa" w:w="2408"/>
            <w:shd w:val="clear" w:color="auto" w:fill="FFCE32"/>
          </w:tcPr>
          <w:p>
            <w:r/>
            <w:r>
              <w:rPr>
                <w:b/>
              </w:rPr>
              <w:t>Slides</w:t>
            </w:r>
          </w:p>
        </w:tc>
      </w:tr>
      <w:tr>
        <w:tc>
          <w:tcPr>
            <w:tcW w:type="dxa" w:w="2408"/>
          </w:tcPr>
          <w:p>
            <w:r>
              <w:rPr>
                <w:sz w:val="20"/>
              </w:rPr>
              <w:t>Abordagem do Ciclo de Políticas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Bowe, Ball e Gold (1992); Mainardes (2006)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3.1; 4.2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12, 15</w:t>
            </w:r>
          </w:p>
        </w:tc>
      </w:tr>
      <w:tr>
        <w:tc>
          <w:tcPr>
            <w:tcW w:type="dxa" w:w="2408"/>
          </w:tcPr>
          <w:p>
            <w:r>
              <w:rPr>
                <w:sz w:val="20"/>
              </w:rPr>
              <w:t>Atuação / encenação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Ball, Maguire e Braun (2016)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3.2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1, 3, 12, 15</w:t>
            </w:r>
          </w:p>
        </w:tc>
      </w:tr>
      <w:tr>
        <w:tc>
          <w:tcPr>
            <w:tcW w:type="dxa" w:w="2408"/>
          </w:tcPr>
          <w:p>
            <w:r>
              <w:rPr>
                <w:sz w:val="20"/>
              </w:rPr>
              <w:t>Dimensões do contexto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Ball, Maguire e Braun (2016, p. 38)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3.2; 6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5, 12</w:t>
            </w:r>
          </w:p>
        </w:tc>
      </w:tr>
      <w:tr>
        <w:tc>
          <w:tcPr>
            <w:tcW w:type="dxa" w:w="2408"/>
          </w:tcPr>
          <w:p>
            <w:r>
              <w:rPr>
                <w:sz w:val="20"/>
              </w:rPr>
              <w:t>Recontextualização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Bowe, Ball e Gold (1992, p. 22)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3.1; 4.3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408"/>
          </w:tcPr>
          <w:p>
            <w:r>
              <w:rPr>
                <w:sz w:val="20"/>
              </w:rPr>
              <w:t>Culturas profissionais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Hargreaves (2005)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3.3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5, 13, 15</w:t>
            </w:r>
          </w:p>
        </w:tc>
      </w:tr>
      <w:tr>
        <w:tc>
          <w:tcPr>
            <w:tcW w:type="dxa" w:w="2408"/>
          </w:tcPr>
          <w:p>
            <w:r>
              <w:rPr>
                <w:sz w:val="20"/>
              </w:rPr>
              <w:t>Performatividade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Ball (2004; 2008)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3.4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13</w:t>
            </w:r>
          </w:p>
        </w:tc>
      </w:tr>
      <w:tr>
        <w:tc>
          <w:tcPr>
            <w:tcW w:type="dxa" w:w="2408"/>
          </w:tcPr>
          <w:p>
            <w:r>
              <w:rPr>
                <w:sz w:val="20"/>
              </w:rPr>
              <w:t>Fabricação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Ball (2002)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3.4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13</w:t>
            </w:r>
          </w:p>
        </w:tc>
      </w:tr>
      <w:tr>
        <w:tc>
          <w:tcPr>
            <w:tcW w:type="dxa" w:w="2408"/>
          </w:tcPr>
          <w:p>
            <w:r>
              <w:rPr>
                <w:sz w:val="20"/>
              </w:rPr>
              <w:t>Poder e resistência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Foucault (1999); Ball (2011); Freire (2019)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3.5; 4.3.1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4, 13</w:t>
            </w:r>
          </w:p>
        </w:tc>
      </w:tr>
      <w:tr>
        <w:tc>
          <w:tcPr>
            <w:tcW w:type="dxa" w:w="2408"/>
          </w:tcPr>
          <w:p>
            <w:r>
              <w:rPr>
                <w:sz w:val="20"/>
              </w:rPr>
              <w:t>Território usado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Santos (1999)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1.1; 3.6; 6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7, 14, 24, 15</w:t>
            </w:r>
          </w:p>
        </w:tc>
      </w:tr>
      <w:tr>
        <w:tc>
          <w:tcPr>
            <w:tcW w:type="dxa" w:w="2408"/>
          </w:tcPr>
          <w:p>
            <w:r>
              <w:rPr>
                <w:sz w:val="20"/>
              </w:rPr>
              <w:t>Rugosidade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Santos (2006; 2012)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6.2; 6.3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14, 26</w:t>
            </w:r>
          </w:p>
        </w:tc>
      </w:tr>
      <w:tr>
        <w:tc>
          <w:tcPr>
            <w:tcW w:type="dxa" w:w="2408"/>
          </w:tcPr>
          <w:p>
            <w:r>
              <w:rPr>
                <w:sz w:val="20"/>
              </w:rPr>
              <w:t>Lugar / encontro de trajetórias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Massey (2008)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3.6; 6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7, 14, 25</w:t>
            </w:r>
          </w:p>
        </w:tc>
      </w:tr>
      <w:tr>
        <w:tc>
          <w:tcPr>
            <w:tcW w:type="dxa" w:w="2408"/>
          </w:tcPr>
          <w:p>
            <w:r>
              <w:rPr>
                <w:sz w:val="20"/>
              </w:rPr>
              <w:t>Habitar / Educação OnLIFE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Schlemmer, Backes e Palagi (2021); Di Felice (2009)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3.6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14, 15</w:t>
            </w:r>
          </w:p>
        </w:tc>
      </w:tr>
      <w:tr>
        <w:tc>
          <w:tcPr>
            <w:tcW w:type="dxa" w:w="2408"/>
          </w:tcPr>
          <w:p>
            <w:r>
              <w:rPr>
                <w:sz w:val="20"/>
              </w:rPr>
              <w:t>Habitar o digital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Formulação da tese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3.6; 6.4.2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14, 27</w:t>
            </w:r>
          </w:p>
        </w:tc>
      </w:tr>
      <w:tr>
        <w:tc>
          <w:tcPr>
            <w:tcW w:type="dxa" w:w="2408"/>
          </w:tcPr>
          <w:p>
            <w:r>
              <w:rPr>
                <w:sz w:val="20"/>
              </w:rPr>
              <w:t>Provisão, proteção, participação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ONU (2021); Freire (2019)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1.1; 3.6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5, 6</w:t>
            </w:r>
          </w:p>
        </w:tc>
      </w:tr>
      <w:tr>
        <w:tc>
          <w:tcPr>
            <w:tcW w:type="dxa" w:w="2408"/>
          </w:tcPr>
          <w:p>
            <w:r>
              <w:rPr>
                <w:sz w:val="20"/>
              </w:rPr>
              <w:t>Plataformas, dados, solucionismo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Zuboff; Silveira; Morozov; Pretto et al.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3.6.1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14, 15</w:t>
            </w:r>
          </w:p>
        </w:tc>
      </w:tr>
      <w:tr>
        <w:tc>
          <w:tcPr>
            <w:tcW w:type="dxa" w:w="2408"/>
          </w:tcPr>
          <w:p>
            <w:r>
              <w:rPr>
                <w:sz w:val="20"/>
              </w:rPr>
              <w:t>Categorias sensibilizadoras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Quadro 12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5.2.3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21</w:t>
            </w:r>
          </w:p>
        </w:tc>
      </w:tr>
      <w:tr>
        <w:tc>
          <w:tcPr>
            <w:tcW w:type="dxa" w:w="2408"/>
          </w:tcPr>
          <w:p>
            <w:r>
              <w:rPr>
                <w:sz w:val="20"/>
              </w:rPr>
              <w:t>Vazio material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Formulação da tese; Lei nº 14.533/2023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5.5; 1.2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22, 27</w:t>
            </w:r>
          </w:p>
        </w:tc>
      </w:tr>
      <w:tr>
        <w:tc>
          <w:tcPr>
            <w:tcW w:type="dxa" w:w="2408"/>
          </w:tcPr>
          <w:p>
            <w:r>
              <w:rPr>
                <w:sz w:val="20"/>
              </w:rPr>
              <w:t>Rugosidade tecnológica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Formulação da tese; Santos (2012)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6.3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26, 27</w:t>
            </w:r>
          </w:p>
        </w:tc>
      </w:tr>
      <w:tr>
        <w:tc>
          <w:tcPr>
            <w:tcW w:type="dxa" w:w="2408"/>
          </w:tcPr>
          <w:p>
            <w:r>
              <w:rPr>
                <w:sz w:val="20"/>
              </w:rPr>
              <w:t>PRISMA, PICo, síntese temática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Page et al.; Lockwood et al.; Thomas e Harden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2.2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2408"/>
          </w:tcPr>
          <w:p>
            <w:r>
              <w:rPr>
                <w:sz w:val="20"/>
              </w:rPr>
              <w:t>Estudo de caso, análise temática reflexiva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Yin; Minayo; Braun e Clarke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4.1; 4.5.1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17, 18</w:t>
            </w:r>
          </w:p>
        </w:tc>
      </w:tr>
      <w:tr>
        <w:tc>
          <w:tcPr>
            <w:tcW w:type="dxa" w:w="2408"/>
          </w:tcPr>
          <w:p>
            <w:r>
              <w:rPr>
                <w:sz w:val="20"/>
              </w:rPr>
              <w:t>Funil / estudo de caso único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Yin (2001); desenho da tese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4.1; 6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3, 17, 24</w:t>
            </w:r>
          </w:p>
        </w:tc>
      </w:tr>
      <w:tr>
        <w:tc>
          <w:tcPr>
            <w:tcW w:type="dxa" w:w="2408"/>
          </w:tcPr>
          <w:p>
            <w:r>
              <w:rPr>
                <w:sz w:val="20"/>
              </w:rPr>
              <w:t>Educação digital na lei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Lei nº 14.533/2023, art. 3º; LDB, art. 4º, XII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5.5</w:t>
            </w:r>
          </w:p>
        </w:tc>
        <w:tc>
          <w:tcPr>
            <w:tcW w:type="dxa" w:w="2408"/>
          </w:tcPr>
          <w:p>
            <w:r>
              <w:rPr>
                <w:sz w:val="20"/>
              </w:rPr>
              <w:t>22</w:t>
            </w:r>
          </w:p>
        </w:tc>
      </w:tr>
    </w:tbl>
    <w:p>
      <w:r>
        <w:br w:type="page"/>
      </w:r>
    </w:p>
    <w:p>
      <w:pPr>
        <w:pStyle w:val="Heading1"/>
      </w:pPr>
      <w:r>
        <w:t>ABERTURA</w:t>
      </w:r>
    </w:p>
    <w:p>
      <w:pPr>
        <w:pStyle w:val="Heading2"/>
      </w:pPr>
      <w:r>
        <w:t>Slide 1 · Capa</w:t>
      </w:r>
    </w:p>
    <w:p>
      <w:r>
        <w:rPr>
          <w:color w:val="555555"/>
          <w:sz w:val="20"/>
        </w:rPr>
        <w:t>35 s  ·  ao final: 00:35</w:t>
      </w:r>
    </w:p>
    <w:p>
      <w:r>
        <w:rPr>
          <w:i/>
          <w:color w:val="555555"/>
        </w:rPr>
        <w:t>[Apontar a foto da fachada ao dizer o nome da escola.]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EF0FB"/>
          </w:tcPr>
          <w:p>
            <w:pPr>
              <w:spacing w:line="300" w:lineRule="auto"/>
              <w:jc w:val="both"/>
            </w:pPr>
            <w:r/>
            <w:r>
              <w:rPr>
                <w:sz w:val="24"/>
              </w:rPr>
              <w:t>Bom dia (ou boa tarde) a todas e a todos. Agradeço à banca pela leitura cuidadosa do texto e à professora Maria Cristina Leandro de Paiva pela orientação. Apresento o projeto de tese A encenação da Política Nacional de Educação Digital em Tibau do Sul: da Secretaria Municipal de Educação à escola de Pipa, entre culturas profissionais, território e resistências. A fotografia é da entrada da Escola Municipal Domitila Castelo da Silva.</w:t>
            </w:r>
          </w:p>
        </w:tc>
      </w:tr>
    </w:tbl>
    <w:p>
      <w:pPr>
        <w:spacing w:after="0"/>
      </w:pPr>
    </w:p>
    <w:p>
      <w:pPr>
        <w:pStyle w:val="Heading3"/>
      </w:pPr>
      <w:r>
        <w:t>Estudo dirigido</w:t>
      </w:r>
    </w:p>
    <w:p>
      <w:r>
        <w:rPr>
          <w:b/>
        </w:rPr>
        <w:t xml:space="preserve">Ideia central: </w:t>
      </w:r>
      <w:r>
        <w:t>Apresenta a tese e o lugar da pesquisa: a Escola Municipal Domitila Castelo da Silva, em Pipa (RN).</w:t>
      </w:r>
    </w:p>
    <w:p>
      <w:r>
        <w:rPr>
          <w:b/>
        </w:rPr>
        <w:t>Conceitos</w:t>
      </w:r>
    </w:p>
    <w:p>
      <w:pPr>
        <w:pStyle w:val="ListBullet"/>
      </w:pPr>
      <w:r>
        <w:rPr>
          <w:b/>
        </w:rPr>
        <w:t xml:space="preserve">Encenação: </w:t>
      </w:r>
      <w:r>
        <w:t>Título da tese. Tradução que a tese adota para enactment, termo da teoria da atuação (ver lâmina 13).</w:t>
      </w:r>
    </w:p>
    <w:p>
      <w:pPr>
        <w:pStyle w:val="ListBullet"/>
      </w:pPr>
      <w:r>
        <w:rPr>
          <w:b/>
        </w:rPr>
        <w:t xml:space="preserve">Culturas profissionais, território e resistências: </w:t>
      </w:r>
      <w:r>
        <w:t>Os três eixos do título correspondem a três blocos teóricos do capítulo 3: culturas profissionais (3.3), território e habitar o digital (3.6) e poder e resistência (3.5).</w:t>
      </w:r>
    </w:p>
    <w:p>
      <w:r>
        <w:rPr>
          <w:b/>
        </w:rPr>
        <w:t xml:space="preserve">Autores e obras: </w:t>
      </w:r>
      <w:r>
        <w:t>Ball, Maguire e Braun (2016), pela noção de atuação/encenação.</w:t>
      </w:r>
    </w:p>
    <w:p>
      <w:r>
        <w:rPr>
          <w:b/>
        </w:rPr>
        <w:t xml:space="preserve">Onde aprofundar: </w:t>
      </w:r>
      <w:r>
        <w:t>Cap. 1, abertura e seção 1.6 (arquitetura da tese).</w:t>
      </w:r>
    </w:p>
    <w:p>
      <w:r>
        <w:rPr>
          <w:b/>
        </w:rPr>
        <w:t>Perguntas de estudo</w:t>
      </w:r>
    </w:p>
    <w:p>
      <w:pPr>
        <w:pStyle w:val="ListBullet"/>
      </w:pPr>
      <w:r>
        <w:rPr>
          <w:i/>
        </w:rPr>
        <w:t>Por que a tese usa "encenação" no lugar de "implementação"? (resposta na lâmina 13 e na seção 3.2).</w:t>
      </w:r>
    </w:p>
    <w:p>
      <w:pPr>
        <w:pStyle w:val="Heading2"/>
      </w:pPr>
      <w:r>
        <w:t>Slide 2 · Roteiro</w:t>
      </w:r>
    </w:p>
    <w:p>
      <w:r>
        <w:rPr>
          <w:color w:val="555555"/>
          <w:sz w:val="20"/>
        </w:rPr>
        <w:t>25 s  ·  ao final: 01:00</w:t>
      </w:r>
    </w:p>
    <w:p>
      <w:r>
        <w:rPr>
          <w:i/>
          <w:color w:val="555555"/>
        </w:rPr>
        <w:t>[Apontar os seis cartões em sequência.]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EF0FB"/>
          </w:tcPr>
          <w:p>
            <w:pPr>
              <w:spacing w:line="300" w:lineRule="auto"/>
              <w:jc w:val="both"/>
            </w:pPr>
            <w:r/>
            <w:r>
              <w:rPr>
                <w:sz w:val="24"/>
              </w:rPr>
              <w:t>A apresentação segue a ordem do texto. Começo pelo objeto, pela questão e pelos objetivos. Passo à revisão sistemática, aos fundamentos teóricos e à metodologia. Depois trago a agenda global e a PNED e, por fim, o caminho do município à escola, que me leva à tese de partida e aos próximos passos.</w:t>
            </w:r>
          </w:p>
        </w:tc>
      </w:tr>
    </w:tbl>
    <w:p>
      <w:pPr>
        <w:spacing w:after="0"/>
      </w:pPr>
    </w:p>
    <w:p>
      <w:pPr>
        <w:pStyle w:val="Heading3"/>
      </w:pPr>
      <w:r>
        <w:t>Estudo dirigido</w:t>
      </w:r>
    </w:p>
    <w:p>
      <w:r>
        <w:rPr>
          <w:b/>
        </w:rPr>
        <w:t xml:space="preserve">Ideia central: </w:t>
      </w:r>
      <w:r>
        <w:t>Organiza a apresentação na ordem dos capítulos: objeto, RSL, teoria, método, agenda e PNED, território.</w:t>
      </w:r>
    </w:p>
    <w:p>
      <w:r>
        <w:rPr>
          <w:b/>
        </w:rPr>
        <w:t xml:space="preserve">Onde aprofundar: </w:t>
      </w:r>
      <w:r>
        <w:t>Cap. 1, seção 1.6, que descreve os oito capítulos.</w:t>
      </w:r>
    </w:p>
    <w:p>
      <w:r>
        <w:br w:type="page"/>
      </w:r>
    </w:p>
    <w:p>
      <w:pPr>
        <w:pStyle w:val="Heading1"/>
      </w:pPr>
      <w:r>
        <w:t>OBJETO, QUESTÃO, OBJETIVOS E RELEVÂNCIAS</w:t>
      </w:r>
    </w:p>
    <w:p>
      <w:pPr>
        <w:pStyle w:val="Heading2"/>
      </w:pPr>
      <w:r>
        <w:t>Slide 3 · Objeto</w:t>
      </w:r>
    </w:p>
    <w:p>
      <w:r>
        <w:rPr>
          <w:color w:val="555555"/>
          <w:sz w:val="20"/>
        </w:rPr>
        <w:t>55 s  ·  ao final: 01:55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EF0FB"/>
          </w:tcPr>
          <w:p>
            <w:pPr>
              <w:spacing w:line="300" w:lineRule="auto"/>
              <w:jc w:val="both"/>
            </w:pPr>
            <w:r/>
            <w:r>
              <w:rPr>
                <w:sz w:val="24"/>
              </w:rPr>
              <w:t>O objeto desta tese é a encenação da Política Nacional de Educação Digital, instituída pela Lei nº 14.533, de 2023, no eixo Educação Digital Escolar, na Escola Municipal Domitila Castelo da Silva, em Pipa. O foco está nos profissionais dos anos iniciais, do 1º ao 5º ano: professoras e professores, coordenação, direção e apoio pedagógico. Para chegar a Pipa, a pesquisa percorre um caminho em funil. Parte do território municipal de Tibau do Sul e dos documentos da Secretaria Municipal de Educação e pergunta se eles consideram a realidade diversa de cada localidade, até chegar à escola. Trabalho com a ideia de Ball, Maguire e Braun de que as atuações são coletivas, criativas e limitadas.</w:t>
            </w:r>
          </w:p>
        </w:tc>
      </w:tr>
    </w:tbl>
    <w:p>
      <w:pPr>
        <w:spacing w:after="0"/>
      </w:pPr>
    </w:p>
    <w:p>
      <w:pPr>
        <w:pStyle w:val="Heading3"/>
      </w:pPr>
      <w:r>
        <w:t>Estudo dirigido</w:t>
      </w:r>
    </w:p>
    <w:p>
      <w:r>
        <w:rPr>
          <w:b/>
        </w:rPr>
        <w:t>Mapa conceitual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8811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81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Ideia central: </w:t>
      </w:r>
      <w:r>
        <w:t>Delimita o objeto: a encenação da PNED, eixo Educação Digital Escolar, na escola de Pipa, pelos profissionais dos anos iniciais. O território municipal e os documentos da Secretaria são o caminho em funil até a escola.</w:t>
      </w:r>
    </w:p>
    <w:p>
      <w:r>
        <w:rPr>
          <w:b/>
        </w:rPr>
        <w:t>Conceitos</w:t>
      </w:r>
    </w:p>
    <w:p>
      <w:pPr>
        <w:pStyle w:val="ListBullet"/>
      </w:pPr>
      <w:r>
        <w:rPr>
          <w:b/>
        </w:rPr>
        <w:t xml:space="preserve">Funil: </w:t>
      </w:r>
      <w:r>
        <w:t>Percurso da pesquisa: território municipal de Tibau do Sul, documentos da SME (se consideram a realidade diversa de cada localidade), Pipa e, por fim, a escola. A rede e a Secretaria são contexto; o caso é a escola de Pipa.</w:t>
      </w:r>
    </w:p>
    <w:p>
      <w:pPr>
        <w:pStyle w:val="ListBullet"/>
      </w:pPr>
      <w:r>
        <w:rPr>
          <w:b/>
        </w:rPr>
        <w:t xml:space="preserve">PNED: </w:t>
      </w:r>
      <w:r>
        <w:t>Política Nacional de Educação Digital, Lei nº 14.533/2023, com quatro eixos: Inclusão Digital, Educação Digital Escolar, Capacitação e Especialização Digital e Pesquisa e Desenvolvimento em TIC. A tese trata do eixo Educação Digital Escolar.</w:t>
      </w:r>
    </w:p>
    <w:p>
      <w:pPr>
        <w:pStyle w:val="ListBullet"/>
      </w:pPr>
      <w:r>
        <w:rPr>
          <w:b/>
        </w:rPr>
        <w:t xml:space="preserve">Profissionais da educação: </w:t>
      </w:r>
      <w:r>
        <w:t>Todos os que, na escola, participam da construção da política: docentes, coordenação, direção e demais profissionais ligados aos processos pedagógicos ou à educação digital.</w:t>
      </w:r>
    </w:p>
    <w:p>
      <w:pPr>
        <w:pStyle w:val="ListBullet"/>
      </w:pPr>
      <w:r>
        <w:rPr>
          <w:b/>
        </w:rPr>
        <w:t xml:space="preserve">Atuações "coletivas, criativas e limitadas": </w:t>
      </w:r>
      <w:r>
        <w:t>Formulação de Ball, Maguire e Braun (2016, p. 103): as atuações são feitas de "malabarismo instável entre as prioridades inconciliáveis, cargas de trabalho impossíveis, movimentos satisficing e entusiasmos pessoais".</w:t>
      </w:r>
    </w:p>
    <w:p>
      <w:r>
        <w:rPr>
          <w:b/>
        </w:rPr>
        <w:t xml:space="preserve">Autores e obras: </w:t>
      </w:r>
      <w:r>
        <w:t>BRASIL. Lei nº 14.533/2023; Ball, Maguire e Braun (2016, p. 103).</w:t>
      </w:r>
    </w:p>
    <w:p>
      <w:r>
        <w:rPr>
          <w:b/>
        </w:rPr>
        <w:t xml:space="preserve">Onde aprofundar: </w:t>
      </w:r>
      <w:r>
        <w:t>Cap. 1, abertura e 1.3; Cap. 3, seção 3.2 (a citação completa da p. 103); Cap. 5, seção 5.5 (o eixo na lei).</w:t>
      </w:r>
    </w:p>
    <w:p>
      <w:r>
        <w:rPr>
          <w:b/>
        </w:rPr>
        <w:t>Perguntas de estudo</w:t>
      </w:r>
    </w:p>
    <w:p>
      <w:pPr>
        <w:pStyle w:val="ListBullet"/>
      </w:pPr>
      <w:r>
        <w:rPr>
          <w:i/>
        </w:rPr>
        <w:t>Por que ouvir todos os profissionais, e não só as professoras regentes? (cap. 3.2: os atores são "posicionados de forma diferente", BMB, 2016, p. 74-75).</w:t>
      </w:r>
    </w:p>
    <w:p>
      <w:r>
        <w:rPr>
          <w:b/>
          <w:color w:val="B03A2E"/>
        </w:rPr>
        <w:t xml:space="preserve">Cuidado: </w:t>
      </w:r>
      <w:r>
        <w:t>Fato: título, objeto e citação (BMB, 2016, p. 103) estão nos capítulos.</w:t>
      </w:r>
    </w:p>
    <w:p>
      <w:pPr>
        <w:pStyle w:val="Heading2"/>
      </w:pPr>
      <w:r>
        <w:t>Slide 4 · Questão de pesquisa</w:t>
      </w:r>
    </w:p>
    <w:p>
      <w:r>
        <w:rPr>
          <w:color w:val="555555"/>
          <w:sz w:val="20"/>
        </w:rPr>
        <w:t>55 s  ·  ao final: 02:50</w:t>
      </w:r>
    </w:p>
    <w:p>
      <w:r>
        <w:rPr>
          <w:i/>
          <w:color w:val="555555"/>
        </w:rPr>
        <w:t>[Seguir o infográfico da esquerda para a direita, apontando cada cartão; a pergunta completa fica no alto para a banca. Pausa no cartão da resistência.]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EF0FB"/>
          </w:tcPr>
          <w:p>
            <w:pPr>
              <w:spacing w:line="300" w:lineRule="auto"/>
              <w:jc w:val="both"/>
            </w:pPr>
            <w:r/>
            <w:r>
              <w:rPr>
                <w:sz w:val="24"/>
              </w:rPr>
              <w:t>Daí a questão que orienta a pesquisa: como a Política Nacional de Educação Digital é recontextualizada e encenada pelos profissionais da educação de Tibau do Sul (RN), da Secretaria Municipal de Educação à escola de Pipa, atravessados pelas culturas profissionais, pelas condições materiais e institucionais e pelas especificidades do lugar, e que formas de atuação emergem desse processo, entre acomodações, negociações, ressignificações e resistências? O infográfico mostra como as partes se ligam. A resistência é uma possibilidade a examinar nos dados, sem ser pressuposta. E, com Stuart Hall, numa aproximação nossa, entendo que os sentidos organizam as ações; por isso, as narrativas dos profissionais ocupam o centro da produção de dados.</w:t>
            </w:r>
          </w:p>
        </w:tc>
      </w:tr>
    </w:tbl>
    <w:p>
      <w:pPr>
        <w:spacing w:after="0"/>
      </w:pPr>
    </w:p>
    <w:p>
      <w:pPr>
        <w:pStyle w:val="Heading3"/>
      </w:pPr>
      <w:r>
        <w:t>Estudo dirigido</w:t>
      </w:r>
    </w:p>
    <w:p>
      <w:r>
        <w:rPr>
          <w:b/>
        </w:rPr>
        <w:t>Mapa conceitual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7195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19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Ideia central: </w:t>
      </w:r>
      <w:r>
        <w:t>A questão, reduzida a pedido da orientadora, em cadeia como no infográfico: a PNED é recontextualizada e encenada pelos profissionais, da SME à escola de Pipa, atravessados por culturas profissionais, condições e lugar, e produz formas de atuação; a resistência fica como hipótese.</w:t>
      </w:r>
    </w:p>
    <w:p>
      <w:r>
        <w:rPr>
          <w:b/>
        </w:rPr>
        <w:t>Conceitos</w:t>
      </w:r>
    </w:p>
    <w:p>
      <w:pPr>
        <w:pStyle w:val="ListBullet"/>
      </w:pPr>
      <w:r>
        <w:rPr>
          <w:b/>
        </w:rPr>
        <w:t xml:space="preserve">Questão revisada: </w:t>
      </w:r>
      <w:r>
        <w:t>Como a Política Nacional de Educação Digital é recontextualizada e encenada pelos profissionais da educação de Tibau do Sul (RN), da Secretaria Municipal de Educação à escola de Pipa, atravessados pelas culturas profissionais, pelas condições materiais e institucionais e pelas especificidades do lugar, e que formas de atuação emergem desse processo, entre acomodações, negociações, ressignificações e resistências?</w:t>
      </w:r>
    </w:p>
    <w:p>
      <w:pPr>
        <w:pStyle w:val="ListBullet"/>
      </w:pPr>
      <w:r>
        <w:rPr>
          <w:b/>
        </w:rPr>
        <w:t xml:space="preserve">Recontextualizar: </w:t>
      </w:r>
      <w:r>
        <w:t>Recriar a política no contexto da prática: ela "não é simplesmente recebida e implementada [...] está sujeita à interpretação e então é ‘recriada’" (BOWE; BALL; GOLD, 1992, p. 22).</w:t>
      </w:r>
    </w:p>
    <w:p>
      <w:pPr>
        <w:pStyle w:val="ListBullet"/>
      </w:pPr>
      <w:r>
        <w:rPr>
          <w:b/>
        </w:rPr>
        <w:t xml:space="preserve">Formas de atuação: </w:t>
      </w:r>
      <w:r>
        <w:t>Acomodação, negociação, ressignificação, resistência e outras (ver lâmina 14).</w:t>
      </w:r>
    </w:p>
    <w:p>
      <w:pPr>
        <w:pStyle w:val="ListBullet"/>
      </w:pPr>
      <w:r>
        <w:rPr>
          <w:b/>
        </w:rPr>
        <w:t xml:space="preserve">Resistência como possibilidade: </w:t>
      </w:r>
      <w:r>
        <w:t>A resistência está no título, mas é hipótese a examinar nos dados, sem ser pressuposta.</w:t>
      </w:r>
    </w:p>
    <w:p>
      <w:pPr>
        <w:pStyle w:val="ListBullet"/>
      </w:pPr>
      <w:r>
        <w:rPr>
          <w:b/>
        </w:rPr>
        <w:t xml:space="preserve">Sentidos organizam ações (Hall): </w:t>
      </w:r>
      <w:r>
        <w:t>No slide: um discurso é "um modo de construir sentidos que influencia e organiza tanto nossas ações quanto a concepção que temos de nós mesmos" (HALL, 2006, p. 50-51). Hall trata de cultura nacional, não de política educacional: a aproximação é nossa e precisa ser dita. Daí a decisão de pôr as narrativas dos profissionais no centro da produção de dados.</w:t>
      </w:r>
    </w:p>
    <w:p>
      <w:pPr>
        <w:pStyle w:val="ListBullet"/>
      </w:pPr>
      <w:r>
        <w:rPr>
          <w:b/>
        </w:rPr>
        <w:t xml:space="preserve">Alternativa de Hall: </w:t>
      </w:r>
      <w:r>
        <w:t>"devem aprender a habitar, no mínimo, duas identidades, a falar duas linguagens culturais, a traduzir e a negociar entre elas" (HALL, 2006, p. 89), mais próxima de tradução e negociação.</w:t>
      </w:r>
    </w:p>
    <w:p>
      <w:r>
        <w:rPr>
          <w:b/>
        </w:rPr>
        <w:t xml:space="preserve">Autores e obras: </w:t>
      </w:r>
      <w:r>
        <w:t>Bowe, Ball e Gold (1992, p. 22); Ball, Maguire e Braun (2016, p. 14): as políticas "raramente ditam ou determinam a prática"; Hall (2006, p. 50-51; p. 89 como alternativa).</w:t>
      </w:r>
    </w:p>
    <w:p>
      <w:r>
        <w:rPr>
          <w:b/>
        </w:rPr>
        <w:t xml:space="preserve">Onde aprofundar: </w:t>
      </w:r>
      <w:r>
        <w:t>Cap. 1, seção 1.3; Cap. 3, seções 3.1 e 3.5; Cap. 4, seção 4.3 (recontextualização como categoria analítica integradora).</w:t>
      </w:r>
    </w:p>
    <w:p>
      <w:r>
        <w:rPr>
          <w:b/>
        </w:rPr>
        <w:t>Perguntas de estudo</w:t>
      </w:r>
    </w:p>
    <w:p>
      <w:pPr>
        <w:pStyle w:val="ListBullet"/>
      </w:pPr>
      <w:r>
        <w:rPr>
          <w:i/>
        </w:rPr>
        <w:t>O que garante que a pesquisa não "encontre" a resistência que procura? (critérios datados e assinados antes da 1ª entrevista, cap. 4, 4.3.1).</w:t>
      </w:r>
    </w:p>
    <w:p>
      <w:pPr>
        <w:pStyle w:val="ListBullet"/>
      </w:pPr>
      <w:r>
        <w:rPr>
          <w:i/>
        </w:rPr>
        <w:t>Por que um autor dos estudos culturais na questão de uma tese de política educacional? (sentidos organizam ações; por isso, as narrativas no centro; aproximação declarada).</w:t>
      </w:r>
    </w:p>
    <w:p>
      <w:pPr>
        <w:pStyle w:val="Heading2"/>
      </w:pPr>
      <w:r>
        <w:t>Slide 5 · Objetivos</w:t>
      </w:r>
    </w:p>
    <w:p>
      <w:r>
        <w:rPr>
          <w:color w:val="555555"/>
          <w:sz w:val="20"/>
        </w:rPr>
        <w:t>80 s  ·  ao final: 04:10</w:t>
      </w:r>
    </w:p>
    <w:p>
      <w:r>
        <w:rPr>
          <w:i/>
          <w:color w:val="555555"/>
        </w:rPr>
        <w:t>[Cada cartão tem um rótulo: interpretação, condições e território, formas de atuação, crianças. Destacar os verbos: compreender, examinar, identificar, discutir.]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EF0FB"/>
          </w:tcPr>
          <w:p>
            <w:pPr>
              <w:spacing w:line="300" w:lineRule="auto"/>
              <w:jc w:val="both"/>
            </w:pPr>
            <w:r/>
            <w:r>
              <w:rPr>
                <w:sz w:val="24"/>
              </w:rPr>
              <w:t>O objetivo geral é analisar a recontextualização da Política Nacional de Educação Digital da Secretaria Municipal de Educação de Tibau do Sul até o contexto da prática da Escola Municipal Domitila Castelo da Silva, em Pipa, considerando a diversidade socioespacial do território municipal, as culturas profissionais e as condições materiais e institucionais da rede e da escola. O caminho do município a Pipa já está no objetivo geral, e os quatro específicos se concentram na escola. O primeiro é compreender a interpretação da política e das orientações municipais pelos profissionais, à luz de suas experiências, crenças e valores. O segundo é examinar a relação entre as condições da escola, articuladas às especificidades de Pipa, e a tradução da política em ações cotidianas. O terceiro é identificar as formas de atuação produzidas, da adesão à resistência. O quarto é discutir as implicações dessas formas de atuação para a provisão, a proteção e a participação das crianças no ambiente digital.</w:t>
            </w:r>
          </w:p>
        </w:tc>
      </w:tr>
    </w:tbl>
    <w:p>
      <w:pPr>
        <w:spacing w:after="0"/>
      </w:pPr>
    </w:p>
    <w:p>
      <w:pPr>
        <w:pStyle w:val="Heading3"/>
      </w:pPr>
      <w:r>
        <w:t>Estudo dirigido</w:t>
      </w:r>
    </w:p>
    <w:p>
      <w:r>
        <w:rPr>
          <w:b/>
        </w:rPr>
        <w:t>Mapa conceitual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8811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81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Ideia central: </w:t>
      </w:r>
      <w:r>
        <w:t>Um objetivo geral, que já contém o percurso do município a Pipa, e quatro específicos voltados à escola: interpretação, condições e território, formas de atuação e crianças.</w:t>
      </w:r>
    </w:p>
    <w:p>
      <w:r>
        <w:rPr>
          <w:b/>
        </w:rPr>
        <w:t>Conceitos</w:t>
      </w:r>
    </w:p>
    <w:p>
      <w:pPr>
        <w:pStyle w:val="ListBullet"/>
      </w:pPr>
      <w:r>
        <w:rPr>
          <w:b/>
        </w:rPr>
        <w:t xml:space="preserve">Objetivo geral: </w:t>
      </w:r>
      <w:r>
        <w:t>Analisar a recontextualização da PNED da SME até o contexto da prática da escola de Pipa, considerando a diversidade socioespacial do município, as culturas profissionais e as condições da rede e da escola. O funil (território, SME, Pipa) está aqui.</w:t>
      </w:r>
    </w:p>
    <w:p>
      <w:pPr>
        <w:pStyle w:val="ListBullet"/>
      </w:pPr>
      <w:r>
        <w:rPr>
          <w:b/>
        </w:rPr>
        <w:t xml:space="preserve">Interpretação (obj. a): </w:t>
      </w:r>
      <w:r>
        <w:t>Compreender como os profissionais leem a PNED e as orientações municipais a partir de experiências, crenças, valores e organização do trabalho. Dialoga com culturas profissionais (Hargreaves).</w:t>
      </w:r>
    </w:p>
    <w:p>
      <w:pPr>
        <w:pStyle w:val="ListBullet"/>
      </w:pPr>
      <w:r>
        <w:rPr>
          <w:b/>
        </w:rPr>
        <w:t xml:space="preserve">Condições e território (obj. b): </w:t>
      </w:r>
      <w:r>
        <w:t>Examinar a relação entre as condições da escola, articuladas às especificidades de Pipa, e a tradução da política. Dimensões situada e material (BMB, 2016, p. 38).</w:t>
      </w:r>
    </w:p>
    <w:p>
      <w:pPr>
        <w:pStyle w:val="ListBullet"/>
      </w:pPr>
      <w:r>
        <w:rPr>
          <w:b/>
        </w:rPr>
        <w:t xml:space="preserve">Formas de atuação (obj. c): </w:t>
      </w:r>
      <w:r>
        <w:t>Identificar as formas de atuação, da adesão à resistência, sem pressupor qual prevalece.</w:t>
      </w:r>
    </w:p>
    <w:p>
      <w:pPr>
        <w:pStyle w:val="ListBullet"/>
      </w:pPr>
      <w:r>
        <w:rPr>
          <w:b/>
        </w:rPr>
        <w:t xml:space="preserve">Crianças (obj. d): </w:t>
      </w:r>
      <w:r>
        <w:t>Discutir as implicações dessas formas de atuação para provisão, proteção e participação das crianças no ambiente digital (ONU, 2021).</w:t>
      </w:r>
    </w:p>
    <w:p>
      <w:pPr>
        <w:pStyle w:val="ListBullet"/>
      </w:pPr>
      <w:r>
        <w:rPr>
          <w:b/>
        </w:rPr>
        <w:t xml:space="preserve">Verbos: </w:t>
      </w:r>
      <w:r>
        <w:t>Compreender, examinar, identificar, discutir: um verbo por objetivo, sem repetir o "analisar" do geral.</w:t>
      </w:r>
    </w:p>
    <w:p>
      <w:r>
        <w:rPr>
          <w:b/>
        </w:rPr>
        <w:t xml:space="preserve">Autores e obras: </w:t>
      </w:r>
      <w:r>
        <w:t>Hargreaves (2005); Ball, Maguire e Braun (2016, p. 38); ONU (2021), Comentário Geral nº 25.</w:t>
      </w:r>
    </w:p>
    <w:p>
      <w:r>
        <w:rPr>
          <w:b/>
        </w:rPr>
        <w:t xml:space="preserve">Onde aprofundar: </w:t>
      </w:r>
      <w:r>
        <w:t>Cap. 1, seção 1.3; Cap. 4, Quadro 9 (objetivos, fontes e capítulos); Cap. 3, seção 3.6 (provisão, proteção, participação).</w:t>
      </w:r>
    </w:p>
    <w:p>
      <w:r>
        <w:rPr>
          <w:b/>
        </w:rPr>
        <w:t>Perguntas de estudo</w:t>
      </w:r>
    </w:p>
    <w:p>
      <w:pPr>
        <w:pStyle w:val="ListBullet"/>
      </w:pPr>
      <w:r>
        <w:rPr>
          <w:i/>
        </w:rPr>
        <w:t>Por que não há objetivo específico sobre a Secretaria? (o percurso do município a Pipa está no objetivo geral; a SME entra pelos documentos e pela entrevista com o técnico, como contexto da escola).</w:t>
      </w:r>
    </w:p>
    <w:p>
      <w:pPr>
        <w:pStyle w:val="ListBullet"/>
      </w:pPr>
      <w:r>
        <w:rPr>
          <w:i/>
        </w:rPr>
        <w:t>Por que separar formas de atuação e crianças? (identificar o que os profissionais fazem é diferente de discutir o que isso implica para os direitos das crianças).</w:t>
      </w:r>
    </w:p>
    <w:p>
      <w:pPr>
        <w:pStyle w:val="Heading2"/>
      </w:pPr>
      <w:r>
        <w:t>Slide 6 · Relevâncias da pesquisa</w:t>
      </w:r>
    </w:p>
    <w:p>
      <w:r>
        <w:rPr>
          <w:color w:val="555555"/>
          <w:sz w:val="20"/>
        </w:rPr>
        <w:t>60 s  ·  ao final: 05:10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EF0FB"/>
          </w:tcPr>
          <w:p>
            <w:pPr>
              <w:spacing w:line="300" w:lineRule="auto"/>
              <w:jc w:val="both"/>
            </w:pPr>
            <w:r/>
            <w:r>
              <w:rPr>
                <w:sz w:val="24"/>
              </w:rPr>
              <w:t>Vejo cinco relevâncias nesta pesquisa. Para as crianças, porque o eixo lhes promete participação consciente e democrática e proteção dos dados, e nos anos iniciais a escola pode ser o primeiro espaço público em que o digital é discutido com alguém responsável pelo ensino. Para os profissionais, porque olhamos a política a partir de quem a faz acontecer, sem cobrar de cada um o que só o desenho da política poderia garantir. Para o território, porque Tibau do Sul reúne localidades muito distintas numa mesma rede, e em Pipa o uso econômico intenso das tecnologias convive com salas sem telas. Para a ciência, pela leitura da PNED a partir do contexto da prática. E para a rede, que saberá se a tradução municipal da política considera essas diferenças e o que chega a Pipa.</w:t>
            </w:r>
          </w:p>
        </w:tc>
      </w:tr>
    </w:tbl>
    <w:p>
      <w:pPr>
        <w:spacing w:after="0"/>
      </w:pPr>
    </w:p>
    <w:p>
      <w:pPr>
        <w:pStyle w:val="Heading3"/>
      </w:pPr>
      <w:r>
        <w:t>Estudo dirigido</w:t>
      </w:r>
    </w:p>
    <w:p>
      <w:r>
        <w:rPr>
          <w:b/>
        </w:rPr>
        <w:t>Mapa conceitual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2294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229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Ideia central: </w:t>
      </w:r>
      <w:r>
        <w:t>Cinco relevâncias: para as crianças, os profissionais, o território, a ciência e a rede.</w:t>
      </w:r>
    </w:p>
    <w:p>
      <w:r>
        <w:rPr>
          <w:b/>
        </w:rPr>
        <w:t>Conceitos</w:t>
      </w:r>
    </w:p>
    <w:p>
      <w:pPr>
        <w:pStyle w:val="ListBullet"/>
      </w:pPr>
      <w:r>
        <w:rPr>
          <w:b/>
        </w:rPr>
        <w:t xml:space="preserve">Promessas às crianças: </w:t>
      </w:r>
      <w:r>
        <w:t>Art. 3º, III (participação consciente e democrática) e IV (proteção dos dados) da PNED.</w:t>
      </w:r>
    </w:p>
    <w:p>
      <w:pPr>
        <w:pStyle w:val="ListBullet"/>
      </w:pPr>
      <w:r>
        <w:rPr>
          <w:b/>
        </w:rPr>
        <w:t xml:space="preserve">Fazedores de política: </w:t>
      </w:r>
      <w:r>
        <w:t>Profissionais lidos como quem produz a política, sem que se cobre deles o que só o desenho da política poderia garantir.</w:t>
      </w:r>
    </w:p>
    <w:p>
      <w:pPr>
        <w:pStyle w:val="ListBullet"/>
      </w:pPr>
      <w:r>
        <w:rPr>
          <w:b/>
        </w:rPr>
        <w:t xml:space="preserve">Dissonância territorial: </w:t>
      </w:r>
      <w:r>
        <w:t>Em Pipa, uso econômico intenso das tecnologias convive com salas de aula sem telas.</w:t>
      </w:r>
    </w:p>
    <w:p>
      <w:pPr>
        <w:pStyle w:val="ListBullet"/>
      </w:pPr>
      <w:r>
        <w:rPr>
          <w:b/>
        </w:rPr>
        <w:t xml:space="preserve">Para a rede: </w:t>
      </w:r>
      <w:r>
        <w:t>Mostrar se a tradução municipal da PNED considera as diferenças entre as localidades e o que chega a Pipa, com devolutiva à escola e à SME.</w:t>
      </w:r>
    </w:p>
    <w:p>
      <w:r>
        <w:rPr>
          <w:b/>
        </w:rPr>
        <w:t xml:space="preserve">Autores e obras: </w:t>
      </w:r>
      <w:r>
        <w:t>BRASIL (2023, art. 3º, III e IV); ONU (2021); Santos (1999); Ball, Maguire e Braun (2016).</w:t>
      </w:r>
    </w:p>
    <w:p>
      <w:r>
        <w:rPr>
          <w:b/>
        </w:rPr>
        <w:t xml:space="preserve">Onde aprofundar: </w:t>
      </w:r>
      <w:r>
        <w:t>Cap. 1, seção 1.1 (justificativa); Projeto de tese, seção 13 (contribuições esperadas).</w:t>
      </w:r>
    </w:p>
    <w:p>
      <w:r>
        <w:rPr>
          <w:b/>
        </w:rPr>
        <w:t>Perguntas de estudo</w:t>
      </w:r>
    </w:p>
    <w:p>
      <w:pPr>
        <w:pStyle w:val="ListBullet"/>
      </w:pPr>
      <w:r>
        <w:rPr>
          <w:i/>
        </w:rPr>
        <w:t>Qual é a relevância social, além da acadêmica? (devolutiva à escola e à SME, cap. 4, 4.5.1).</w:t>
      </w:r>
    </w:p>
    <w:p>
      <w:pPr>
        <w:pStyle w:val="Heading2"/>
      </w:pPr>
      <w:r>
        <w:t>Slide 7 · Ineditismo</w:t>
      </w:r>
    </w:p>
    <w:p>
      <w:r>
        <w:rPr>
          <w:color w:val="555555"/>
          <w:sz w:val="20"/>
        </w:rPr>
        <w:t>55 s  ·  ao final: 06:05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EF0FB"/>
          </w:tcPr>
          <w:p>
            <w:pPr>
              <w:spacing w:line="300" w:lineRule="auto"/>
              <w:jc w:val="both"/>
            </w:pPr>
            <w:r/>
            <w:r>
              <w:rPr>
                <w:sz w:val="24"/>
              </w:rPr>
              <w:t>O ineditismo aparece em três planos. No empírico-temporal, acompanhamos a chegada da PNED a uma escola de Pipa, lida a partir da rede, enquanto ela acontece: a lei é de 2023, a educação digital virou componente curricular no fim daquele ano e a Resolução CNE/CEB nº 2, de 2025, marcou a implementação para 2026, e nenhum dos nove estudos da revisão examina essa política ou uma rede municipal de pequeno porte. No analítico-espacial, Pipa está no centro, lida dentro de um território municipal diverso, com Milton Santos e com Doreen Massey. No teórico-conceitual, articulamos atuação, culturas profissionais, materialidade e território, e daí nasce a formulação habitar o digital.</w:t>
            </w:r>
          </w:p>
        </w:tc>
      </w:tr>
    </w:tbl>
    <w:p>
      <w:pPr>
        <w:spacing w:after="0"/>
      </w:pPr>
    </w:p>
    <w:p>
      <w:pPr>
        <w:pStyle w:val="Heading3"/>
      </w:pPr>
      <w:r>
        <w:t>Estudo dirigido</w:t>
      </w:r>
    </w:p>
    <w:p>
      <w:r>
        <w:rPr>
          <w:b/>
        </w:rPr>
        <w:t>Mapa conceitual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391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391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Ideia central: </w:t>
      </w:r>
      <w:r>
        <w:t>Três planos: empírico-temporal, analítico-espacial e teórico-conceitual.</w:t>
      </w:r>
    </w:p>
    <w:p>
      <w:r>
        <w:rPr>
          <w:b/>
        </w:rPr>
        <w:t>Conceitos</w:t>
      </w:r>
    </w:p>
    <w:p>
      <w:pPr>
        <w:pStyle w:val="ListBullet"/>
      </w:pPr>
      <w:r>
        <w:rPr>
          <w:b/>
        </w:rPr>
        <w:t xml:space="preserve">Empírico-temporal: </w:t>
      </w:r>
      <w:r>
        <w:t>Acompanhar a chegada da PNED à escola; nenhum dos nove estudos da RSL a examina.</w:t>
      </w:r>
    </w:p>
    <w:p>
      <w:pPr>
        <w:pStyle w:val="ListBullet"/>
      </w:pPr>
      <w:r>
        <w:rPr>
          <w:b/>
        </w:rPr>
        <w:t xml:space="preserve">Analítico-espacial: </w:t>
      </w:r>
      <w:r>
        <w:t>Pipa no centro, lida dentro de um território municipal diverso. "O território não é uma categoria de análise, a categoria de análise é o território usado" (SANTOS, 1999, p. 19); o lugar como "um encontro de trajetórias" (MASSEY, 2008, p. 204).</w:t>
      </w:r>
    </w:p>
    <w:p>
      <w:pPr>
        <w:pStyle w:val="ListBullet"/>
      </w:pPr>
      <w:r>
        <w:rPr>
          <w:b/>
        </w:rPr>
        <w:t xml:space="preserve">Teórico-conceitual: </w:t>
      </w:r>
      <w:r>
        <w:t>Articulação entre atuação, culturas profissionais, materialidade e território, da qual nasce a formulação "habitar o digital".</w:t>
      </w:r>
    </w:p>
    <w:p>
      <w:pPr>
        <w:pStyle w:val="ListBullet"/>
      </w:pPr>
      <w:r>
        <w:rPr>
          <w:b/>
        </w:rPr>
        <w:t xml:space="preserve">Calendário normativo: </w:t>
      </w:r>
      <w:r>
        <w:t>Lei nº 14.533 (jan. 2023); derrubada do veto e inclusão do § 11 do art. 26 da LDB (dez. 2023); Resolução CNE/CEB nº 2/2025 (implementação a partir de 2026, art. 36); Estatuto Digital da Criança e do Adolescente, Lei nº 15.211/2025 (em vigor em mar. 2026); novo PNE, Lei nº 15.388/2026 (abr. 2026).</w:t>
      </w:r>
    </w:p>
    <w:p>
      <w:r>
        <w:rPr>
          <w:b/>
        </w:rPr>
        <w:t xml:space="preserve">Autores e obras: </w:t>
      </w:r>
      <w:r>
        <w:t>Santos (1999, p. 19); Massey (2008, p. 29, 203, 204); Ball (2011, p. 36, 38, 46).</w:t>
      </w:r>
    </w:p>
    <w:p>
      <w:r>
        <w:rPr>
          <w:b/>
        </w:rPr>
        <w:t xml:space="preserve">Onde aprofundar: </w:t>
      </w:r>
      <w:r>
        <w:t>Cap. 1, seção 1.5; Cap. 2, seção 2.5.4 (o ineditismo à luz da RSL).</w:t>
      </w:r>
    </w:p>
    <w:p>
      <w:r>
        <w:rPr>
          <w:b/>
        </w:rPr>
        <w:t>Perguntas de estudo</w:t>
      </w:r>
    </w:p>
    <w:p>
      <w:pPr>
        <w:pStyle w:val="ListBullet"/>
      </w:pPr>
      <w:r>
        <w:rPr>
          <w:i/>
        </w:rPr>
        <w:t>O que é inédito na tese, se a teoria da atuação já existe? (a articulação dos referenciais e o caso).</w:t>
      </w:r>
    </w:p>
    <w:p>
      <w:r>
        <w:br w:type="page"/>
      </w:r>
    </w:p>
    <w:p>
      <w:pPr>
        <w:pStyle w:val="Heading1"/>
      </w:pPr>
      <w:r>
        <w:t>REVISÃO SISTEMÁTICA</w:t>
      </w:r>
    </w:p>
    <w:p>
      <w:pPr>
        <w:pStyle w:val="Heading2"/>
      </w:pPr>
      <w:r>
        <w:t>Slide 8 · Divisor: Revisão sistemática</w:t>
      </w:r>
    </w:p>
    <w:p>
      <w:r>
        <w:rPr>
          <w:color w:val="555555"/>
          <w:sz w:val="20"/>
        </w:rPr>
        <w:t>10 s  ·  ao final: 06:15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EF0FB"/>
          </w:tcPr>
          <w:p>
            <w:pPr>
              <w:spacing w:line="300" w:lineRule="auto"/>
              <w:jc w:val="both"/>
            </w:pPr>
            <w:r/>
            <w:r>
              <w:rPr>
                <w:sz w:val="24"/>
              </w:rPr>
              <w:t>Passo agora ao segundo capítulo, a revisão sistemática da literatura.</w:t>
            </w:r>
          </w:p>
        </w:tc>
      </w:tr>
    </w:tbl>
    <w:p>
      <w:pPr>
        <w:spacing w:after="0"/>
      </w:pPr>
    </w:p>
    <w:p>
      <w:pPr>
        <w:pStyle w:val="Heading3"/>
      </w:pPr>
      <w:r>
        <w:t>Estudo dirigido</w:t>
      </w:r>
    </w:p>
    <w:p>
      <w:r>
        <w:rPr>
          <w:b/>
        </w:rPr>
        <w:t xml:space="preserve">Ideia central: </w:t>
      </w:r>
      <w:r>
        <w:t>Abre o capítulo 2.</w:t>
      </w:r>
    </w:p>
    <w:p>
      <w:r>
        <w:rPr>
          <w:b/>
        </w:rPr>
        <w:t xml:space="preserve">Onde aprofundar: </w:t>
      </w:r>
      <w:r>
        <w:t>Cap. 2.</w:t>
      </w:r>
    </w:p>
    <w:p>
      <w:pPr>
        <w:pStyle w:val="Heading2"/>
      </w:pPr>
      <w:r>
        <w:t>Slide 9 · Percurso e respostas da revisão</w:t>
      </w:r>
    </w:p>
    <w:p>
      <w:r>
        <w:rPr>
          <w:color w:val="555555"/>
          <w:sz w:val="20"/>
        </w:rPr>
        <w:t>60 s  ·  ao final: 07:15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EF0FB"/>
          </w:tcPr>
          <w:p>
            <w:pPr>
              <w:spacing w:line="300" w:lineRule="auto"/>
              <w:jc w:val="both"/>
            </w:pPr>
            <w:r/>
            <w:r>
              <w:rPr>
                <w:sz w:val="24"/>
              </w:rPr>
              <w:t>A revisão partiu de uma pergunta: o que a produção científica evidencia sobre a implementação de políticas públicas de educação digital nos anos iniciais do Ensino Fundamental? Seguimos a declaração PRISMA 2020, estruturamos a questão pelo modelo PICo e fizemos a síntese temática proposta por Thomas e Harden. As sete bases retornaram 176 registros; avaliamos 35 textos completos e chegamos a nove estudos, publicados entre 2021 e 2024. Os condicionantes incluem, além de equipamentos e conectividade, formação continuada, estabilidade das equipes, tempo de trabalho e o próprio marco regulatório. O papel dos profissionais recebeu a resposta mais convergente: a política é feita de interpretação e de decisões situadas. Os sentidos de cultura digital e de formação cidadã têm apoio frágil.</w:t>
            </w:r>
          </w:p>
        </w:tc>
      </w:tr>
    </w:tbl>
    <w:p>
      <w:pPr>
        <w:spacing w:after="0"/>
      </w:pPr>
    </w:p>
    <w:p>
      <w:pPr>
        <w:pStyle w:val="Heading3"/>
      </w:pPr>
      <w:r>
        <w:t>Estudo dirigido</w:t>
      </w:r>
    </w:p>
    <w:p>
      <w:r>
        <w:rPr>
          <w:b/>
        </w:rPr>
        <w:t>Mapa conceitual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711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71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Ideia central: </w:t>
      </w:r>
      <w:r>
        <w:t>Protocolo da RSL e respostas às três subperguntas.</w:t>
      </w:r>
    </w:p>
    <w:p>
      <w:r>
        <w:rPr>
          <w:b/>
        </w:rPr>
        <w:t>Conceitos</w:t>
      </w:r>
    </w:p>
    <w:p>
      <w:pPr>
        <w:pStyle w:val="ListBullet"/>
      </w:pPr>
      <w:r>
        <w:rPr>
          <w:b/>
        </w:rPr>
        <w:t xml:space="preserve">PRISMA 2020: </w:t>
      </w:r>
      <w:r>
        <w:t>Diretriz para relatar revisões sistemáticas (PAGE et al., 2022).</w:t>
      </w:r>
    </w:p>
    <w:p>
      <w:pPr>
        <w:pStyle w:val="ListBullet"/>
      </w:pPr>
      <w:r>
        <w:rPr>
          <w:b/>
        </w:rPr>
        <w:t xml:space="preserve">PICo: </w:t>
      </w:r>
      <w:r>
        <w:t>População, Interesse, Contexto: estrutura da questão para revisões qualitativas (LOCKWOOD et al., 2015).</w:t>
      </w:r>
    </w:p>
    <w:p>
      <w:pPr>
        <w:pStyle w:val="ListBullet"/>
      </w:pPr>
      <w:r>
        <w:rPr>
          <w:b/>
        </w:rPr>
        <w:t xml:space="preserve">Síntese temática: </w:t>
      </w:r>
      <w:r>
        <w:t>Codificação dos resultados, temas descritivos e temas analíticos (THOMAS; HARDEN, 2008).</w:t>
      </w:r>
    </w:p>
    <w:p>
      <w:pPr>
        <w:pStyle w:val="ListBullet"/>
      </w:pPr>
      <w:r>
        <w:rPr>
          <w:b/>
        </w:rPr>
        <w:t xml:space="preserve">MMAT 2018: </w:t>
      </w:r>
      <w:r>
        <w:t>Instrumento de avaliação da qualidade dos estudos empíricos (HONG et al., 2018), com piso de 3 em 5.</w:t>
      </w:r>
    </w:p>
    <w:p>
      <w:pPr>
        <w:pStyle w:val="ListBullet"/>
      </w:pPr>
      <w:r>
        <w:rPr>
          <w:b/>
        </w:rPr>
        <w:t xml:space="preserve">Números do fluxo: </w:t>
      </w:r>
      <w:r>
        <w:t>7 bases, 176 registros, 39 buscados, 35 avaliados, 9 estudos (2021-2024).</w:t>
      </w:r>
    </w:p>
    <w:p>
      <w:r>
        <w:rPr>
          <w:b/>
        </w:rPr>
        <w:t xml:space="preserve">Autores e obras: </w:t>
      </w:r>
      <w:r>
        <w:t>Page et al. (2022); Lockwood et al. (2015); Thomas e Harden (2008); Kitchenham e Charters (2007); Hong et al. (2018).</w:t>
      </w:r>
    </w:p>
    <w:p>
      <w:r>
        <w:rPr>
          <w:b/>
        </w:rPr>
        <w:t xml:space="preserve">Onde aprofundar: </w:t>
      </w:r>
      <w:r>
        <w:t>Cap. 2, seções 2.2 a 2.4 e 2.5.1; Apêndices A a C.</w:t>
      </w:r>
    </w:p>
    <w:p>
      <w:r>
        <w:rPr>
          <w:b/>
        </w:rPr>
        <w:t>Perguntas de estudo</w:t>
      </w:r>
    </w:p>
    <w:p>
      <w:pPr>
        <w:pStyle w:val="ListBullet"/>
      </w:pPr>
      <w:r>
        <w:rPr>
          <w:i/>
        </w:rPr>
        <w:t>Por que não consultar o Banco de Teses da CAPES? (a BDTD já o indexa, cap. 2, 2.2).</w:t>
      </w:r>
    </w:p>
    <w:p>
      <w:pPr>
        <w:pStyle w:val="ListBullet"/>
      </w:pPr>
      <w:r>
        <w:rPr>
          <w:i/>
        </w:rPr>
        <w:t>Qual a principal limitação da RSL? (triagem sem segundo avaliador, 2.5.3).</w:t>
      </w:r>
    </w:p>
    <w:p>
      <w:pPr>
        <w:pStyle w:val="Heading2"/>
      </w:pPr>
      <w:r>
        <w:t>Slide 10 · O que a revisão decidiu</w:t>
      </w:r>
    </w:p>
    <w:p>
      <w:r>
        <w:rPr>
          <w:color w:val="555555"/>
          <w:sz w:val="20"/>
        </w:rPr>
        <w:t>80 s  ·  ao final: 08:35</w:t>
      </w:r>
    </w:p>
    <w:p>
      <w:r>
        <w:rPr>
          <w:i/>
          <w:color w:val="555555"/>
        </w:rPr>
        <w:t>[Ler cada linha da esquerda para a direita, seguindo a seta.]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EF0FB"/>
          </w:tcPr>
          <w:p>
            <w:pPr>
              <w:spacing w:line="300" w:lineRule="auto"/>
              <w:jc w:val="both"/>
            </w:pPr>
            <w:r/>
            <w:r>
              <w:rPr>
                <w:sz w:val="24"/>
              </w:rPr>
              <w:t>A revisão orientou decisões da tese, e esta lâmina mostra cada uma delas. Os estudos tratam os anos iniciais em bloco e quase não delimitam o ciclo de alfabetização; por isso, a tese delimita o 1º ao 5º ano, com esse ciclo incluído. Nenhum estudo examina a PNED nem uma rede municipal de pequeno porte; a tese toma o eixo Educação Digital Escolar como objeto, numa escola de Pipa, lida a partir da rede municipal. Predominam respostas emergenciais à pandemia; a tese estuda a política no funcionamento ordinário da escola. O corpus mostra que as condições vão além do equipamento e que os profissionais interpretam a política, e daí nasce a pergunta sobre o que eles fazem quando a condição anunciada não chega. Cultura digital e formação cidadã têm apoio frágil, e as crianças não aparecem como sujeitos; o tema será tratado de modo exploratório, ouvindo os profissionais, sem avaliar efeitos sobre as crianças. Por fim, os três eixos da revisão serviram de referência para o questionário e as entrevistas, sem virar categorias fechadas.</w:t>
            </w:r>
          </w:p>
        </w:tc>
      </w:tr>
    </w:tbl>
    <w:p>
      <w:pPr>
        <w:spacing w:after="0"/>
      </w:pPr>
    </w:p>
    <w:p>
      <w:pPr>
        <w:pStyle w:val="Heading3"/>
      </w:pPr>
      <w:r>
        <w:t>Estudo dirigido</w:t>
      </w:r>
    </w:p>
    <w:p>
      <w:r>
        <w:rPr>
          <w:b/>
        </w:rPr>
        <w:t>Mapa conceitual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9460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46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Ideia central: </w:t>
      </w:r>
      <w:r>
        <w:t>Cada lacuna da literatura se converte numa decisão da tese.</w:t>
      </w:r>
    </w:p>
    <w:p>
      <w:r>
        <w:rPr>
          <w:b/>
        </w:rPr>
        <w:t>Conceitos</w:t>
      </w:r>
    </w:p>
    <w:p>
      <w:pPr>
        <w:pStyle w:val="ListBullet"/>
      </w:pPr>
      <w:r>
        <w:rPr>
          <w:b/>
        </w:rPr>
        <w:t xml:space="preserve">Lacuna: </w:t>
      </w:r>
      <w:r>
        <w:t>O que a literatura não examina, sustentado pelo corpus e pelo registro de exclusões (Quadro 8).</w:t>
      </w:r>
    </w:p>
    <w:p>
      <w:pPr>
        <w:pStyle w:val="ListBullet"/>
      </w:pPr>
      <w:r>
        <w:rPr>
          <w:b/>
        </w:rPr>
        <w:t xml:space="preserve">Decisões: </w:t>
      </w:r>
      <w:r>
        <w:t>Recorte do 1º ao 5º ano com alfabetização; eixo Educação Digital Escolar numa escola de Pipa, lida a partir da rede municipal; funcionamento ordinário da escola; pergunta sobre o que os profissionais fazem quando a condição não chega; cultura digital em caráter exploratório; eixos da revisão como referência para os instrumentos.</w:t>
      </w:r>
    </w:p>
    <w:p>
      <w:r>
        <w:rPr>
          <w:b/>
        </w:rPr>
        <w:t xml:space="preserve">Autores e obras: </w:t>
      </w:r>
      <w:r>
        <w:t>Nunes (2024) e Tussi (2023), sobre formação; Brown et al. (2021), sobre a norma como restrição; Ivanishchenko, Busana e Reuter (2024), sobre o limite da provisão.</w:t>
      </w:r>
    </w:p>
    <w:p>
      <w:r>
        <w:rPr>
          <w:b/>
        </w:rPr>
        <w:t xml:space="preserve">Onde aprofundar: </w:t>
      </w:r>
      <w:r>
        <w:t>Cap. 2, seções 2.5.2 (lacunas), Quadro 8 e 2.5.4 (contribuições da tese).</w:t>
      </w:r>
    </w:p>
    <w:p>
      <w:r>
        <w:rPr>
          <w:b/>
        </w:rPr>
        <w:t>Perguntas de estudo</w:t>
      </w:r>
    </w:p>
    <w:p>
      <w:pPr>
        <w:pStyle w:val="ListBullet"/>
      </w:pPr>
      <w:r>
        <w:rPr>
          <w:i/>
        </w:rPr>
        <w:t>Os referenciais teóricos vêm do corpus? (não: são externos ao corpus, 2.5.4).</w:t>
      </w:r>
    </w:p>
    <w:p>
      <w:r>
        <w:br w:type="page"/>
      </w:r>
    </w:p>
    <w:p>
      <w:pPr>
        <w:pStyle w:val="Heading1"/>
      </w:pPr>
      <w:r>
        <w:t>FUNDAMENTOS TEÓRICOS</w:t>
      </w:r>
    </w:p>
    <w:p>
      <w:pPr>
        <w:pStyle w:val="Heading2"/>
      </w:pPr>
      <w:r>
        <w:t>Slide 11 · Divisor: Fundamentos teóricos</w:t>
      </w:r>
    </w:p>
    <w:p>
      <w:r>
        <w:rPr>
          <w:color w:val="555555"/>
          <w:sz w:val="20"/>
        </w:rPr>
        <w:t>10 s  ·  ao final: 08:45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EF0FB"/>
          </w:tcPr>
          <w:p>
            <w:pPr>
              <w:spacing w:line="300" w:lineRule="auto"/>
              <w:jc w:val="both"/>
            </w:pPr>
            <w:r/>
            <w:r>
              <w:rPr>
                <w:sz w:val="24"/>
              </w:rPr>
              <w:t>Com essas escolhas feitas, passo aos fundamentos teóricos, que acompanham a política do texto ao ato.</w:t>
            </w:r>
          </w:p>
        </w:tc>
      </w:tr>
    </w:tbl>
    <w:p>
      <w:pPr>
        <w:spacing w:after="0"/>
      </w:pPr>
    </w:p>
    <w:p>
      <w:pPr>
        <w:pStyle w:val="Heading3"/>
      </w:pPr>
      <w:r>
        <w:t>Estudo dirigido</w:t>
      </w:r>
    </w:p>
    <w:p>
      <w:r>
        <w:rPr>
          <w:b/>
        </w:rPr>
        <w:t xml:space="preserve">Ideia central: </w:t>
      </w:r>
      <w:r>
        <w:t>Abre o capítulo 3.</w:t>
      </w:r>
    </w:p>
    <w:p>
      <w:r>
        <w:rPr>
          <w:b/>
        </w:rPr>
        <w:t xml:space="preserve">Onde aprofundar: </w:t>
      </w:r>
      <w:r>
        <w:t>Cap. 3.</w:t>
      </w:r>
    </w:p>
    <w:p>
      <w:pPr>
        <w:pStyle w:val="Heading2"/>
      </w:pPr>
      <w:r>
        <w:t>Slide 12 · Do texto ao ato</w:t>
      </w:r>
    </w:p>
    <w:p>
      <w:r>
        <w:rPr>
          <w:color w:val="555555"/>
          <w:sz w:val="20"/>
        </w:rPr>
        <w:t>85 s  ·  ao final: 10:10</w:t>
      </w:r>
    </w:p>
    <w:p>
      <w:r>
        <w:rPr>
          <w:i/>
          <w:color w:val="555555"/>
        </w:rPr>
        <w:t>[Seguir as setas: influência, produção do texto, prática.]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EF0FB"/>
          </w:tcPr>
          <w:p>
            <w:pPr>
              <w:spacing w:line="300" w:lineRule="auto"/>
              <w:jc w:val="both"/>
            </w:pPr>
            <w:r/>
            <w:r>
              <w:rPr>
                <w:sz w:val="24"/>
              </w:rPr>
              <w:t>O capítulo 3 organiza a teoria pelo caminho da política. A Abordagem do Ciclo de Políticas, de Bowe, Ball e Gold, sistematizada no Brasil por Mainardes, entende a política como processo contínuo, em que formulação e prática se influenciam. No contexto de influência, agendas e discursos disputam as finalidades da educação digital. No contexto da produção do texto, essas disputas ganham forma na Lei nº 14.533 e na Resolução CNE/CEB nº 2, e ali se lê o que a lei pede e com que meios. Esses dois contextos são examinados no capítulo 5. No contexto da prática, a política é posta em ato, primeiro na Secretaria, que a traduz para a rede, e depois na escola. É aqui que entra a teoria da atuação de Ball, Maguire e Braun, com quatro dimensões: a situada, que traz Pipa e a história da escola; a das culturas profissionais; a material, com prédio, equipamentos e conexão; e a externa, que nesta tese tem fonte própria na Secretaria. Esse contexto é tratado nos capítulos 6 e 7.</w:t>
            </w:r>
          </w:p>
        </w:tc>
      </w:tr>
    </w:tbl>
    <w:p>
      <w:pPr>
        <w:spacing w:after="0"/>
      </w:pPr>
    </w:p>
    <w:p>
      <w:pPr>
        <w:pStyle w:val="Heading3"/>
      </w:pPr>
      <w:r>
        <w:t>Estudo dirigido</w:t>
      </w:r>
    </w:p>
    <w:p>
      <w:r>
        <w:rPr>
          <w:b/>
        </w:rPr>
        <w:t>Mapa conceitual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3911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391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Ideia central: </w:t>
      </w:r>
      <w:r>
        <w:t>A política vai do contexto de influência à produção do texto e ao contexto da prática, onde é posta em ato.</w:t>
      </w:r>
    </w:p>
    <w:p>
      <w:r>
        <w:rPr>
          <w:b/>
        </w:rPr>
        <w:t>Conceitos</w:t>
      </w:r>
    </w:p>
    <w:p>
      <w:pPr>
        <w:pStyle w:val="ListBullet"/>
      </w:pPr>
      <w:r>
        <w:rPr>
          <w:b/>
        </w:rPr>
        <w:t xml:space="preserve">Abordagem do Ciclo de Políticas (ACP): </w:t>
      </w:r>
      <w:r>
        <w:t>A política como processo contínuo, em que formulação e prática se influenciam, sem hierarquia fixa entre quem formula e quem executa.</w:t>
      </w:r>
    </w:p>
    <w:p>
      <w:pPr>
        <w:pStyle w:val="ListBullet"/>
      </w:pPr>
      <w:r>
        <w:rPr>
          <w:b/>
        </w:rPr>
        <w:t xml:space="preserve">Contexto de influência: </w:t>
      </w:r>
      <w:r>
        <w:t>Onde se disputam finalidades e discursos (cap. 5: agendas e comparação).</w:t>
      </w:r>
    </w:p>
    <w:p>
      <w:pPr>
        <w:pStyle w:val="ListBullet"/>
      </w:pPr>
      <w:r>
        <w:rPr>
          <w:b/>
        </w:rPr>
        <w:t xml:space="preserve">Contexto da produção do texto: </w:t>
      </w:r>
      <w:r>
        <w:t>Onde as disputas ganham forma em leis e documentos (cap. 5: a lei).</w:t>
      </w:r>
    </w:p>
    <w:p>
      <w:pPr>
        <w:pStyle w:val="ListBullet"/>
      </w:pPr>
      <w:r>
        <w:rPr>
          <w:b/>
        </w:rPr>
        <w:t xml:space="preserve">Contexto da prática: </w:t>
      </w:r>
      <w:r>
        <w:t>Onde os textos são recebidos e reinterpretados (caps. 6 e 7). Os contextos dos resultados e da estratégia política foram acrescentados por Ball depois.</w:t>
      </w:r>
    </w:p>
    <w:p>
      <w:pPr>
        <w:pStyle w:val="ListBullet"/>
      </w:pPr>
      <w:r>
        <w:rPr>
          <w:b/>
        </w:rPr>
        <w:t xml:space="preserve">Atuação ou encenação (enactment): </w:t>
      </w:r>
      <w:r>
        <w:t>Interpretar (ler e produzir sentidos) e traduzir (transformar a leitura em planejamentos, rotinas, registros e atividades). "A política é complexamente codificada [...] e é decodificada (e recodificada)" (BMB, 2016, p. 14).</w:t>
      </w:r>
    </w:p>
    <w:p>
      <w:pPr>
        <w:pStyle w:val="ListBullet"/>
      </w:pPr>
      <w:r>
        <w:rPr>
          <w:b/>
        </w:rPr>
        <w:t xml:space="preserve">Quatro dimensões do contexto: </w:t>
      </w:r>
      <w:r>
        <w:t>Situada (localidade, história, público), culturas profissionais, material (edifícios, orçamento, tecnologia, infraestrutura) e externa (pressões e apoios) (BMB, 2016, p. 38). O contexto é "uma força ‘ativa’" (p. 42).</w:t>
      </w:r>
    </w:p>
    <w:p>
      <w:pPr>
        <w:pStyle w:val="ListBullet"/>
      </w:pPr>
      <w:r>
        <w:rPr>
          <w:b/>
        </w:rPr>
        <w:t xml:space="preserve">Restrições e possibilidades materiais: </w:t>
      </w:r>
      <w:r>
        <w:t>As políticas "são intervenções textuais, mas carregam também restrições e possibilidades materiais" (BOWE; BALL; GOLD, 1992, p. 21).</w:t>
      </w:r>
    </w:p>
    <w:p>
      <w:r>
        <w:rPr>
          <w:b/>
        </w:rPr>
        <w:t xml:space="preserve">Autores e obras: </w:t>
      </w:r>
      <w:r>
        <w:t>Bowe, Ball e Gold (1992, p. 21-22); Mainardes (2006); Ball, Maguire e Braun (2016, p. 14, 38, 42, 48); Ball (2011, p. 38): trajetória da política.</w:t>
      </w:r>
    </w:p>
    <w:p>
      <w:r>
        <w:rPr>
          <w:b/>
        </w:rPr>
        <w:t xml:space="preserve">Onde aprofundar: </w:t>
      </w:r>
      <w:r>
        <w:t>Cap. 3, seções 3.1 e 3.2; Cap. 4, seção 4.2 (operacionalização de cada contexto e questões analíticas de Mainardes, 2006).</w:t>
      </w:r>
    </w:p>
    <w:p>
      <w:r>
        <w:rPr>
          <w:b/>
        </w:rPr>
        <w:t>Perguntas de estudo</w:t>
      </w:r>
    </w:p>
    <w:p>
      <w:pPr>
        <w:pStyle w:val="ListBullet"/>
      </w:pPr>
      <w:r>
        <w:rPr>
          <w:i/>
        </w:rPr>
        <w:t>Qual a diferença entre interpretação e tradução?</w:t>
      </w:r>
    </w:p>
    <w:p>
      <w:pPr>
        <w:pStyle w:val="ListBullet"/>
      </w:pPr>
      <w:r>
        <w:rPr>
          <w:i/>
        </w:rPr>
        <w:t>Por que a teoria, construída em escolas inglesas, serve a uma escola de Pipa? (3.2: o compromisso dos profissionais quando tudo começa pela falta).</w:t>
      </w:r>
    </w:p>
    <w:p>
      <w:pPr>
        <w:pStyle w:val="Heading2"/>
      </w:pPr>
      <w:r>
        <w:t>Slide 13 · No contexto da prática</w:t>
      </w:r>
    </w:p>
    <w:p>
      <w:r>
        <w:rPr>
          <w:color w:val="555555"/>
          <w:sz w:val="20"/>
        </w:rPr>
        <w:t>80 s  ·  ao final: 11:30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EF0FB"/>
          </w:tcPr>
          <w:p>
            <w:pPr>
              <w:spacing w:line="300" w:lineRule="auto"/>
              <w:jc w:val="both"/>
            </w:pPr>
            <w:r/>
            <w:r>
              <w:rPr>
                <w:sz w:val="24"/>
              </w:rPr>
              <w:t>Dentro do contexto da prática, três noções ajudam a entender o que acontece com a política. As culturas profissionais filtram a leitura. Com Hargreaves, são crenças, valores, hábitos e formas de fazer das comunidades de professores, que podem tomar a forma do individualismo, da colaboração, da colegialidade artificial ou da balcanização. O que uma equipe considera um bom trabalho pesa sobre o que será priorizado. A performatividade pressiona. Ball a descreve como prestação de contas feita de julgamentos, comparações e exposições, e chama de fabricação a escola produzida para ser vista. Se a PNED traz essas exigências à escola é questão para os dados. As relações de poder tensionam. Com Foucault, o poder não é unívoco e tem focos de instabilidade; por isso as formas de atuação vão da adesão à resistência, sem que nenhuma seja pressuposta. Ball adverte contra culpar a escola e contra heroicizar os sujeitos, e Freire lembra que, sem condições favoráveis, o professor se move menos eficazmente no espaço pedagógico.</w:t>
            </w:r>
          </w:p>
        </w:tc>
      </w:tr>
    </w:tbl>
    <w:p>
      <w:pPr>
        <w:spacing w:after="0"/>
      </w:pPr>
    </w:p>
    <w:p>
      <w:pPr>
        <w:pStyle w:val="Heading3"/>
      </w:pPr>
      <w:r>
        <w:t>Estudo dirigido</w:t>
      </w:r>
    </w:p>
    <w:p>
      <w:r>
        <w:rPr>
          <w:b/>
        </w:rPr>
        <w:t>Mapa conceitual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2494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49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Ideia central: </w:t>
      </w:r>
      <w:r>
        <w:t>Três noções explicam o que filtra, o que pressiona e o que tensiona a atuação.</w:t>
      </w:r>
    </w:p>
    <w:p>
      <w:r>
        <w:rPr>
          <w:b/>
        </w:rPr>
        <w:t>Conceitos</w:t>
      </w:r>
    </w:p>
    <w:p>
      <w:pPr>
        <w:pStyle w:val="ListBullet"/>
      </w:pPr>
      <w:r>
        <w:rPr>
          <w:b/>
        </w:rPr>
        <w:t xml:space="preserve">Culturas profissionais: </w:t>
      </w:r>
      <w:r>
        <w:t>"Crenças, valores, hábitos e formas de fazer as coisas assumidas pelas comunidades de professores" (HARGREAVES, 2005, p. 189). Conteúdo (pressupostos e valores) e forma (padrões de relação).</w:t>
      </w:r>
    </w:p>
    <w:p>
      <w:pPr>
        <w:pStyle w:val="ListBullet"/>
      </w:pPr>
      <w:r>
        <w:rPr>
          <w:b/>
        </w:rPr>
        <w:t xml:space="preserve">Formas das culturas: </w:t>
      </w:r>
      <w:r>
        <w:t>Individualismo, colaboração, colegialidade artificial e balcanização (HARGREAVES, 2005, p. 189-191).</w:t>
      </w:r>
    </w:p>
    <w:p>
      <w:pPr>
        <w:pStyle w:val="ListBullet"/>
      </w:pPr>
      <w:r>
        <w:rPr>
          <w:b/>
        </w:rPr>
        <w:t xml:space="preserve">Performatividade: </w:t>
      </w:r>
      <w:r>
        <w:t>Cultura de metas, comparações e prestação de contas (BALL, 2004); "regime de prestação de contas que emprega julgamentos, comparações e exposições como meios de controle, desgaste e mudança" (BALL, 2008, p. 49). Opera por tecnologias políticas (p. 41).</w:t>
      </w:r>
    </w:p>
    <w:p>
      <w:pPr>
        <w:pStyle w:val="ListBullet"/>
      </w:pPr>
      <w:r>
        <w:rPr>
          <w:b/>
        </w:rPr>
        <w:t xml:space="preserve">Fabricação: </w:t>
      </w:r>
      <w:r>
        <w:t>Versões da escola produzidas para serem vistas e avaliadas, sem supor má-fé (BALL, 2002). Na PNED: autodiagnóstico e monitoramento (art. 3º, § 1º).</w:t>
      </w:r>
    </w:p>
    <w:p>
      <w:pPr>
        <w:pStyle w:val="ListBullet"/>
      </w:pPr>
      <w:r>
        <w:rPr>
          <w:b/>
        </w:rPr>
        <w:t xml:space="preserve">Poder e resistência: </w:t>
      </w:r>
      <w:r>
        <w:t>Relações de poder "não são unívocas" e têm "focos de instabilidade" (FOUCAULT, 1999, p. 29). A política como "economia de discursos da verdade" (FOUCAULT, 1980, p. 93 apud BMB, 2016, p. 21).</w:t>
      </w:r>
    </w:p>
    <w:p>
      <w:pPr>
        <w:pStyle w:val="ListBullet"/>
      </w:pPr>
      <w:r>
        <w:rPr>
          <w:b/>
        </w:rPr>
        <w:t xml:space="preserve">Contrapesos: </w:t>
      </w:r>
      <w:r>
        <w:t>Contra culpar a escola e o professor (BALL, 2011, p. 36, 45-46) e contra os "heróis althusserianos" (p. 46); sem condições, o professor "se move menos eficazmente" (FREIRE, 2019, p. 64-65).</w:t>
      </w:r>
    </w:p>
    <w:p>
      <w:r>
        <w:rPr>
          <w:b/>
        </w:rPr>
        <w:t xml:space="preserve">Autores e obras: </w:t>
      </w:r>
      <w:r>
        <w:t>Hargreaves (2005); Ball (2002; 2004; 2008; 2011); Foucault (1999); Freire (2019).</w:t>
      </w:r>
    </w:p>
    <w:p>
      <w:r>
        <w:rPr>
          <w:b/>
        </w:rPr>
        <w:t xml:space="preserve">Onde aprofundar: </w:t>
      </w:r>
      <w:r>
        <w:t>Cap. 3, seções 3.3, 3.4 e 3.5; Cap. 4, seção 4.3.1 (critérios de leitura das formas de atuação).</w:t>
      </w:r>
    </w:p>
    <w:p>
      <w:r>
        <w:rPr>
          <w:b/>
        </w:rPr>
        <w:t>Perguntas de estudo</w:t>
      </w:r>
    </w:p>
    <w:p>
      <w:pPr>
        <w:pStyle w:val="ListBullet"/>
      </w:pPr>
      <w:r>
        <w:rPr>
          <w:i/>
        </w:rPr>
        <w:t>Quando uma prática distante da norma é resistência e quando é falta de condições? (3.5 e 4.3.1).</w:t>
      </w:r>
    </w:p>
    <w:p>
      <w:pPr>
        <w:pStyle w:val="Heading2"/>
      </w:pPr>
      <w:r>
        <w:t>Slide 14 · Onde a política é posta em ato</w:t>
      </w:r>
    </w:p>
    <w:p>
      <w:r>
        <w:rPr>
          <w:color w:val="555555"/>
          <w:sz w:val="20"/>
        </w:rPr>
        <w:t>65 s  ·  ao final: 12:35</w:t>
      </w:r>
    </w:p>
    <w:p>
      <w:r>
        <w:rPr>
          <w:i/>
          <w:color w:val="555555"/>
        </w:rPr>
        <w:t>[Ler devagar a definição no cartão da direita.]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EF0FB"/>
          </w:tcPr>
          <w:p>
            <w:pPr>
              <w:spacing w:line="300" w:lineRule="auto"/>
              <w:jc w:val="both"/>
            </w:pPr>
            <w:r/>
            <w:r>
              <w:rPr>
                <w:sz w:val="24"/>
              </w:rPr>
              <w:t>Falta dizer onde a política é posta em ato. Com Milton Santos, a categoria de análise é o território usado, e as rugosidades são o que fica do passado como forma e paisagem. Com Doreen Massey, o lugar é um encontro de trajetórias. Tibau do Sul reúne lugares assim, e em Pipa as crianças da escola vêm de famílias de moradores antigos, de migrantes, de estrangeiros e de pessoas ligadas ao turismo. Desse diálogo, somado à tradição do habitar em Schlemmer, Backes e Palagi e em Di Felice, nasce a formulação própria da tese: habitar o digital designa as maneiras pelas quais as tecnologias digitais atravessam os espaços, as relações e as práticas cotidianas de um território, produzindo possibilidades desiguais de acesso, participação e apropriação. A formulação será confrontada com os dados e poderá ser revista.</w:t>
            </w:r>
          </w:p>
        </w:tc>
      </w:tr>
    </w:tbl>
    <w:p>
      <w:pPr>
        <w:spacing w:after="0"/>
      </w:pPr>
    </w:p>
    <w:p>
      <w:pPr>
        <w:pStyle w:val="Heading3"/>
      </w:pPr>
      <w:r>
        <w:t>Estudo dirigido</w:t>
      </w:r>
    </w:p>
    <w:p>
      <w:r>
        <w:rPr>
          <w:b/>
        </w:rPr>
        <w:t>Mapa conceitual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94609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46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Ideia central: </w:t>
      </w:r>
      <w:r>
        <w:t>Território, lugar e a formulação própria da tese.</w:t>
      </w:r>
    </w:p>
    <w:p>
      <w:r>
        <w:rPr>
          <w:b/>
        </w:rPr>
        <w:t>Conceitos</w:t>
      </w:r>
    </w:p>
    <w:p>
      <w:pPr>
        <w:pStyle w:val="ListBullet"/>
      </w:pPr>
      <w:r>
        <w:rPr>
          <w:b/>
        </w:rPr>
        <w:t xml:space="preserve">Território usado: </w:t>
      </w:r>
      <w:r>
        <w:t>O território tomado pelas relações, usos e conflitos (SANTOS, 1999, p. 19).</w:t>
      </w:r>
    </w:p>
    <w:p>
      <w:pPr>
        <w:pStyle w:val="ListBullet"/>
      </w:pPr>
      <w:r>
        <w:rPr>
          <w:b/>
        </w:rPr>
        <w:t xml:space="preserve">Rugosidades: </w:t>
      </w:r>
      <w:r>
        <w:t>"O que fica do passado como forma, espaço construído, paisagem" (SANTOS, 2006, p. 92).</w:t>
      </w:r>
    </w:p>
    <w:p>
      <w:pPr>
        <w:pStyle w:val="ListBullet"/>
      </w:pPr>
      <w:r>
        <w:rPr>
          <w:b/>
        </w:rPr>
        <w:t xml:space="preserve">Lugar: </w:t>
      </w:r>
      <w:r>
        <w:t>"Um encontro de trajetórias" (MASSEY, 2008, p. 204); espaço como esfera da multiplicidade (p. 29).</w:t>
      </w:r>
    </w:p>
    <w:p>
      <w:pPr>
        <w:pStyle w:val="ListBullet"/>
      </w:pPr>
      <w:r>
        <w:rPr>
          <w:b/>
        </w:rPr>
        <w:t xml:space="preserve">Habitar: </w:t>
      </w:r>
      <w:r>
        <w:t>"Tem o significado de estar presente" e "natureza relacional" (SCHLEMMER; BACKES; PALAGI, 2021, p. 15); Educação OnLIFE (p. 24); habitar como prática comunicativa (p. 17).</w:t>
      </w:r>
    </w:p>
    <w:p>
      <w:pPr>
        <w:pStyle w:val="ListBullet"/>
      </w:pPr>
      <w:r>
        <w:rPr>
          <w:b/>
        </w:rPr>
        <w:t xml:space="preserve">Habitar atópico e ecossistemas informativos: </w:t>
      </w:r>
      <w:r>
        <w:t>Habitar realizado por interfaces, em rede (DI FELICE, 2009, p. 20, citação indireta). Escrita artificial e "novo modo de habitar" (p. 102).</w:t>
      </w:r>
    </w:p>
    <w:p>
      <w:pPr>
        <w:pStyle w:val="ListBullet"/>
      </w:pPr>
      <w:r>
        <w:rPr>
          <w:b/>
        </w:rPr>
        <w:t xml:space="preserve">Habitar o digital: </w:t>
      </w:r>
      <w:r>
        <w:t>Formulação da tese: maneiras pelas quais as tecnologias digitais atravessam os espaços, as relações e as práticas cotidianas de um território, produzindo possibilidades desiguais de acesso, participação e apropriação.</w:t>
      </w:r>
    </w:p>
    <w:p>
      <w:pPr>
        <w:pStyle w:val="ListBullet"/>
      </w:pPr>
      <w:r>
        <w:rPr>
          <w:b/>
        </w:rPr>
        <w:t xml:space="preserve">Plataformas, dados e solucionismo: </w:t>
      </w:r>
      <w:r>
        <w:t>Capitalismo de vigilância (ZUBOFF, 2021, n. p.); privacidade como adversária do mercado de dados (SILVEIRA, 2017, p. 34); solucionismo (MOROZOV, 2018, p. 64, 88, 110); sujeitos como "produtores ativos de cultura" (PRETTO; CORDEIRO; OLIVEIRA, 2013, p. 35). Contexto teórico, sem virar categoria de análise; entra pelo Eixo 6 da entrevista.</w:t>
      </w:r>
    </w:p>
    <w:p>
      <w:r>
        <w:rPr>
          <w:b/>
        </w:rPr>
        <w:t xml:space="preserve">Autores e obras: </w:t>
      </w:r>
      <w:r>
        <w:t>Santos (1999; 2006); Massey (2008); Schlemmer, Backes e Palagi (2021); Di Felice (2009); Zuboff (2021); Silveira (2017); Morozov (2018); Pretto, Cordeiro e Oliveira (2013).</w:t>
      </w:r>
    </w:p>
    <w:p>
      <w:r>
        <w:rPr>
          <w:b/>
        </w:rPr>
        <w:t xml:space="preserve">Onde aprofundar: </w:t>
      </w:r>
      <w:r>
        <w:t>Cap. 3, seções 3.6 e 3.6.1; Cap. 6, seção 6.4.2 (as formas de habitar o digital em Pipa).</w:t>
      </w:r>
    </w:p>
    <w:p>
      <w:r>
        <w:rPr>
          <w:b/>
        </w:rPr>
        <w:t>Perguntas de estudo</w:t>
      </w:r>
    </w:p>
    <w:p>
      <w:pPr>
        <w:pStyle w:val="ListBullet"/>
      </w:pPr>
      <w:r>
        <w:rPr>
          <w:i/>
        </w:rPr>
        <w:t>Habitar o digital é sinônimo de inclusão digital? (não: vai além de acesso e posse, 3.6).</w:t>
      </w:r>
    </w:p>
    <w:p>
      <w:pPr>
        <w:pStyle w:val="Heading2"/>
      </w:pPr>
      <w:r>
        <w:t>Slide 15 · Conceitos e teóricos que guiam a tese</w:t>
      </w:r>
    </w:p>
    <w:p>
      <w:r>
        <w:rPr>
          <w:color w:val="555555"/>
          <w:sz w:val="20"/>
        </w:rPr>
        <w:t>50 s  ·  ao final: 13:25</w:t>
      </w:r>
    </w:p>
    <w:p>
      <w:r>
        <w:rPr>
          <w:i/>
          <w:color w:val="555555"/>
        </w:rPr>
        <w:t>[Apontar as quatro colunas da esquerda para a direita e, por fim, a faixa amarela.]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EF0FB"/>
          </w:tcPr>
          <w:p>
            <w:pPr>
              <w:spacing w:line="300" w:lineRule="auto"/>
              <w:jc w:val="both"/>
            </w:pPr>
            <w:r/>
            <w:r>
              <w:rPr>
                <w:sz w:val="24"/>
              </w:rPr>
              <w:t>Reúno os conceitos e os autores que guiam a tese. A política é lida pelo ciclo de políticas, de Bowe, Ball e Gold, com Mainardes, e pela teoria da atuação de Ball, Maguire e Braun. Os profissionais, pelas culturas profissionais de Hargreaves, pela performatividade em Ball, pelo poder em Foucault e pelos sentidos em Hall. O território, por Milton Santos e Doreen Massey e pelo habitar em Schlemmer, Backes e Palagi. A cultura digital, pela crítica às plataformas e aos dados, com Zuboff, Silveira e Morozov, e pelos sujeitos como produtores de cultura, com Pretto. Daí nascem as três formulações da tese.</w:t>
            </w:r>
          </w:p>
        </w:tc>
      </w:tr>
    </w:tbl>
    <w:p>
      <w:pPr>
        <w:spacing w:after="0"/>
      </w:pPr>
    </w:p>
    <w:p>
      <w:pPr>
        <w:pStyle w:val="Heading3"/>
      </w:pPr>
      <w:r>
        <w:t>Estudo dirigido</w:t>
      </w:r>
    </w:p>
    <w:p>
      <w:r>
        <w:rPr>
          <w:b/>
        </w:rPr>
        <w:t>Mapa conceitual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44793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47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Ideia central: </w:t>
      </w:r>
      <w:r>
        <w:t>Síntese do quadro teórico em quatro frentes (política, profissionais, território, cultura digital); só teóricos, sem leis nem documentos normativos, e as três formulações próprias da tese.</w:t>
      </w:r>
    </w:p>
    <w:p>
      <w:r>
        <w:rPr>
          <w:b/>
        </w:rPr>
        <w:t>Conceitos</w:t>
      </w:r>
    </w:p>
    <w:p>
      <w:pPr>
        <w:pStyle w:val="ListBullet"/>
      </w:pPr>
      <w:r>
        <w:rPr>
          <w:b/>
        </w:rPr>
        <w:t xml:space="preserve">A política: </w:t>
      </w:r>
      <w:r>
        <w:t>Ciclo de políticas (BOWE; BALL; GOLD, 1992; MAINARDES, 2006); atuação como interpretar e traduzir (BALL; MAGUIRE; BRAUN, 2016); recontextualização, a política "recriada" na prática (BOWE; BALL; GOLD, 1992, p. 22).</w:t>
      </w:r>
    </w:p>
    <w:p>
      <w:pPr>
        <w:pStyle w:val="ListBullet"/>
      </w:pPr>
      <w:r>
        <w:rPr>
          <w:b/>
        </w:rPr>
        <w:t xml:space="preserve">Os profissionais: </w:t>
      </w:r>
      <w:r>
        <w:t>Culturas profissionais (HARGREAVES, 2005); performatividade e fabricação (BALL, 2002; 2008); poder e resistência (FOUCAULT, 1999; BALL, 2011; FREIRE, 2019); sentidos que organizam ações (HALL, 2006).</w:t>
      </w:r>
    </w:p>
    <w:p>
      <w:pPr>
        <w:pStyle w:val="ListBullet"/>
      </w:pPr>
      <w:r>
        <w:rPr>
          <w:b/>
        </w:rPr>
        <w:t xml:space="preserve">O território: </w:t>
      </w:r>
      <w:r>
        <w:t>Território usado e rugosidades (SANTOS, 1999; 2006; 2012); lugar como encontro de trajetórias (MASSEY, 2008); habitar e Educação OnLIFE (SCHLEMMER; BACKES; PALAGI, 2021; DI FELICE, 2009).</w:t>
      </w:r>
    </w:p>
    <w:p>
      <w:pPr>
        <w:pStyle w:val="ListBullet"/>
      </w:pPr>
      <w:r>
        <w:rPr>
          <w:b/>
        </w:rPr>
        <w:t xml:space="preserve">A cultura digital: </w:t>
      </w:r>
      <w:r>
        <w:t>Contexto das tecnologias digitais, sem virar categoria de análise: capitalismo de vigilância (ZUBOFF, 2021) e dados pessoais (SILVEIRA, 2017); solucionismo (MOROZOV, 2018); sujeitos como produtores de cultura (PRETTO; CORDEIRO; OLIVEIRA, 2013). Entra no campo pelo Eixo 6 da entrevista.</w:t>
      </w:r>
    </w:p>
    <w:p>
      <w:pPr>
        <w:pStyle w:val="ListBullet"/>
      </w:pPr>
      <w:r>
        <w:rPr>
          <w:b/>
        </w:rPr>
        <w:t xml:space="preserve">Formulações da tese: </w:t>
      </w:r>
      <w:r>
        <w:t>Habitar o digital (cap. 3), rugosidade tecnológica (cap. 6) e vazio material (cap. 5).</w:t>
      </w:r>
    </w:p>
    <w:p>
      <w:r>
        <w:rPr>
          <w:b/>
        </w:rPr>
        <w:t xml:space="preserve">Autores e obras: </w:t>
      </w:r>
      <w:r>
        <w:t>Os mesmos autores dos slides 12 a 14, reunidos. A ONU (2021) e as normas ficam fora deste slide por não serem referenciais teóricos; as crianças aparecem nos slides 5, 6 e 28.</w:t>
      </w:r>
    </w:p>
    <w:p>
      <w:r>
        <w:rPr>
          <w:b/>
        </w:rPr>
        <w:t xml:space="preserve">Onde aprofundar: </w:t>
      </w:r>
      <w:r>
        <w:t>Cap. 3, seções 3.1 a 3.6.</w:t>
      </w:r>
    </w:p>
    <w:p>
      <w:r>
        <w:rPr>
          <w:b/>
        </w:rPr>
        <w:t>Perguntas de estudo</w:t>
      </w:r>
    </w:p>
    <w:p>
      <w:pPr>
        <w:pStyle w:val="ListBullet"/>
      </w:pPr>
      <w:r>
        <w:rPr>
          <w:i/>
        </w:rPr>
        <w:t>Como autores de tradições diferentes conversam na tese? (o ciclo de políticas organiza; a atuação explica o contexto da prática; o território situa; os direitos das crianças dão o critério de leitura).</w:t>
      </w:r>
    </w:p>
    <w:p>
      <w:pPr>
        <w:pStyle w:val="ListBullet"/>
      </w:pPr>
      <w:r>
        <w:rPr>
          <w:i/>
        </w:rPr>
        <w:t>Por que Hall aparece entre os teóricos? (sentidos que organizam ações; aproximação declarada, slide 4).</w:t>
      </w:r>
    </w:p>
    <w:p>
      <w:r>
        <w:br w:type="page"/>
      </w:r>
    </w:p>
    <w:p>
      <w:pPr>
        <w:pStyle w:val="Heading1"/>
      </w:pPr>
      <w:r>
        <w:t>METODOLOGIA</w:t>
      </w:r>
    </w:p>
    <w:p>
      <w:pPr>
        <w:pStyle w:val="Heading2"/>
      </w:pPr>
      <w:r>
        <w:t>Slide 16 · Divisor: Metodologia</w:t>
      </w:r>
    </w:p>
    <w:p>
      <w:r>
        <w:rPr>
          <w:color w:val="555555"/>
          <w:sz w:val="20"/>
        </w:rPr>
        <w:t>10 s  ·  ao final: 13:35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EF0FB"/>
          </w:tcPr>
          <w:p>
            <w:pPr>
              <w:spacing w:line="300" w:lineRule="auto"/>
              <w:jc w:val="both"/>
            </w:pPr>
            <w:r/>
            <w:r>
              <w:rPr>
                <w:sz w:val="24"/>
              </w:rPr>
              <w:t>Vejamos como esse quadro se converte em procedimentos, no capítulo 4.</w:t>
            </w:r>
          </w:p>
        </w:tc>
      </w:tr>
    </w:tbl>
    <w:p>
      <w:pPr>
        <w:spacing w:after="0"/>
      </w:pPr>
    </w:p>
    <w:p>
      <w:pPr>
        <w:pStyle w:val="Heading3"/>
      </w:pPr>
      <w:r>
        <w:t>Estudo dirigido</w:t>
      </w:r>
    </w:p>
    <w:p>
      <w:r>
        <w:rPr>
          <w:b/>
        </w:rPr>
        <w:t xml:space="preserve">Ideia central: </w:t>
      </w:r>
      <w:r>
        <w:t>Abre o capítulo 4.</w:t>
      </w:r>
    </w:p>
    <w:p>
      <w:r>
        <w:rPr>
          <w:b/>
        </w:rPr>
        <w:t xml:space="preserve">Onde aprofundar: </w:t>
      </w:r>
      <w:r>
        <w:t>Cap. 4.</w:t>
      </w:r>
    </w:p>
    <w:p>
      <w:pPr>
        <w:pStyle w:val="Heading2"/>
      </w:pPr>
      <w:r>
        <w:t>Slide 17 · Desenho e participantes</w:t>
      </w:r>
    </w:p>
    <w:p>
      <w:r>
        <w:rPr>
          <w:color w:val="555555"/>
          <w:sz w:val="20"/>
        </w:rPr>
        <w:t>50 s  ·  ao final: 14:25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EF0FB"/>
          </w:tcPr>
          <w:p>
            <w:pPr>
              <w:spacing w:line="300" w:lineRule="auto"/>
              <w:jc w:val="both"/>
            </w:pPr>
            <w:r/>
            <w:r>
              <w:rPr>
                <w:sz w:val="24"/>
              </w:rPr>
              <w:t>A pesquisa é qualitativa e interpretativa, como a define Minayo, e se organiza como estudo de caso único, nos termos de Yin: o caso é a encenação da PNED na escola de Pipa. O percurso em funil passa pelo território municipal e pelos documentos da Secretaria antes de chegar a Pipa e à escola. Não faremos observação de aula, delimitação que Ball, Maguire e Braun também adotaram. Participam um técnico da Secretaria, cuja entrevista abre o campo, e 24 profissionais da escola. A escola tem 351 crianças em quinze turmas, que não participam da produção de dados.</w:t>
            </w:r>
          </w:p>
        </w:tc>
      </w:tr>
    </w:tbl>
    <w:p>
      <w:pPr>
        <w:spacing w:after="0"/>
      </w:pPr>
    </w:p>
    <w:p>
      <w:pPr>
        <w:pStyle w:val="Heading3"/>
      </w:pPr>
      <w:r>
        <w:t>Estudo dirigido</w:t>
      </w:r>
    </w:p>
    <w:p>
      <w:r>
        <w:rPr>
          <w:b/>
        </w:rPr>
        <w:t>Mapa conceitual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804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1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0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Ideia central: </w:t>
      </w:r>
      <w:r>
        <w:t>Estudo de caso único, qualitativo: o caso é a encenação da PNED na escola de Pipa; o percurso em funil passa pelo território e pela SME. Participam 24 profissionais e um técnico da SME.</w:t>
      </w:r>
    </w:p>
    <w:p>
      <w:r>
        <w:rPr>
          <w:b/>
        </w:rPr>
        <w:t>Conceitos</w:t>
      </w:r>
    </w:p>
    <w:p>
      <w:pPr>
        <w:pStyle w:val="ListBullet"/>
      </w:pPr>
      <w:r>
        <w:rPr>
          <w:b/>
        </w:rPr>
        <w:t xml:space="preserve">Abordagem qualitativa: </w:t>
      </w:r>
      <w:r>
        <w:t>Trabalha com sentidos, experiências, valores e interpretações (MINAYO, 2009).</w:t>
      </w:r>
    </w:p>
    <w:p>
      <w:pPr>
        <w:pStyle w:val="ListBullet"/>
      </w:pPr>
      <w:r>
        <w:rPr>
          <w:b/>
        </w:rPr>
        <w:t xml:space="preserve">Estudo de caso único: </w:t>
      </w:r>
      <w:r>
        <w:t>Fenômeno contemporâneo em contexto real, com limites pouco definidos (YIN, 2001). O caso é a escola de Pipa; a rede e a SME entram como contexto, sem "unidades incorporadas".</w:t>
      </w:r>
    </w:p>
    <w:p>
      <w:pPr>
        <w:pStyle w:val="ListBullet"/>
      </w:pPr>
      <w:r>
        <w:rPr>
          <w:b/>
        </w:rPr>
        <w:t xml:space="preserve">Delimitação sem observação de aula: </w:t>
      </w:r>
      <w:r>
        <w:t>Mesma delimitação de Ball, Maguire e Braun: "temos de confiar nos relatos dos professores" (2016, p. 49).</w:t>
      </w:r>
    </w:p>
    <w:p>
      <w:pPr>
        <w:pStyle w:val="ListBullet"/>
      </w:pPr>
      <w:r>
        <w:rPr>
          <w:b/>
        </w:rPr>
        <w:t xml:space="preserve">Análise temática reflexiva: </w:t>
      </w:r>
      <w:r>
        <w:t>A subjetividade de quem analisa é recurso e precisa ser explicitada (BRAUN; CLARKE, 2006, 2019).</w:t>
      </w:r>
    </w:p>
    <w:p>
      <w:pPr>
        <w:pStyle w:val="ListBullet"/>
      </w:pPr>
      <w:r>
        <w:rPr>
          <w:b/>
        </w:rPr>
        <w:t xml:space="preserve">Participantes: </w:t>
      </w:r>
      <w:r>
        <w:t>Diretor, vice-diretora, coordenadora pedagógica, 4 do apoio pedagógico, 15 regentes e 2 no apoio à recomposição de aula; mais 1 técnico da SME. 351 crianças em 15 turmas (TIBAU DO SUL, 2026), que não participam da produção de dados.</w:t>
      </w:r>
    </w:p>
    <w:p>
      <w:r>
        <w:rPr>
          <w:b/>
        </w:rPr>
        <w:t xml:space="preserve">Autores e obras: </w:t>
      </w:r>
      <w:r>
        <w:t>Minayo (2009); Yin (2001); Braun e Clarke (2006; 2019); Tibau do Sul (2026), relatório de turmas.</w:t>
      </w:r>
    </w:p>
    <w:p>
      <w:r>
        <w:rPr>
          <w:b/>
        </w:rPr>
        <w:t xml:space="preserve">Onde aprofundar: </w:t>
      </w:r>
      <w:r>
        <w:t>Cap. 4, seções 4.1 (posicionamento, abordagem, estudo de caso) e 4.4.1 (participantes).</w:t>
      </w:r>
    </w:p>
    <w:p>
      <w:r>
        <w:rPr>
          <w:b/>
        </w:rPr>
        <w:t>Perguntas de estudo</w:t>
      </w:r>
    </w:p>
    <w:p>
      <w:pPr>
        <w:pStyle w:val="ListBullet"/>
      </w:pPr>
      <w:r>
        <w:rPr>
          <w:i/>
        </w:rPr>
        <w:t>Como a proximidade da pesquisadora com a rede é controlada? (4.1.2).</w:t>
      </w:r>
    </w:p>
    <w:p>
      <w:r>
        <w:rPr>
          <w:b/>
          <w:color w:val="B03A2E"/>
        </w:rPr>
        <w:t xml:space="preserve">Cuidado: </w:t>
      </w:r>
      <w:r>
        <w:t>Fato: os números de participantes e crianças vêm do relatório de turmas (TIBAU DO SUL, 2026).</w:t>
      </w:r>
    </w:p>
    <w:p>
      <w:pPr>
        <w:pStyle w:val="Heading2"/>
      </w:pPr>
      <w:r>
        <w:t>Slide 18 · Construção dos dados</w:t>
      </w:r>
    </w:p>
    <w:p>
      <w:r>
        <w:rPr>
          <w:color w:val="555555"/>
          <w:sz w:val="20"/>
        </w:rPr>
        <w:t>50 s  ·  ao final: 15:15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EF0FB"/>
          </w:tcPr>
          <w:p>
            <w:pPr>
              <w:spacing w:line="300" w:lineRule="auto"/>
              <w:jc w:val="both"/>
            </w:pPr>
            <w:r/>
            <w:r>
              <w:rPr>
                <w:sz w:val="24"/>
              </w:rPr>
              <w:t>Os dados serão construídos em cinco movimentos, da rede à escola. O primeiro é a análise documental: o plano da rede, o currículo e as formações da Secretaria e, na escola, o Projeto Político-Pedagógico e os planos, documentos já solicitados ao técnico e à direção. O segundo lê o território municipal com dados do IBGE e do Censo Escolar e reúne as 38 imagens de Pipa e da escola. O terceiro é o questionário; o quarto, as entrevistas, começando pelo técnico; o quinto, a análise e a devolutiva. A emenda ao Comitê de Ética, com a Secretaria como coparticipante, ainda será submetida.</w:t>
            </w:r>
          </w:p>
        </w:tc>
      </w:tr>
    </w:tbl>
    <w:p>
      <w:pPr>
        <w:spacing w:after="0"/>
      </w:pPr>
    </w:p>
    <w:p>
      <w:pPr>
        <w:pStyle w:val="Heading3"/>
      </w:pPr>
      <w:r>
        <w:t>Estudo dirigido</w:t>
      </w:r>
    </w:p>
    <w:p>
      <w:r>
        <w:rPr>
          <w:b/>
        </w:rPr>
        <w:t>Mapa conceitual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804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1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0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Ideia central: </w:t>
      </w:r>
      <w:r>
        <w:t>Cinco movimentos e o campo; documentos já solicitados à direção e à Secretaria.</w:t>
      </w:r>
    </w:p>
    <w:p>
      <w:r>
        <w:rPr>
          <w:b/>
        </w:rPr>
        <w:t>Conceitos</w:t>
      </w:r>
    </w:p>
    <w:p>
      <w:pPr>
        <w:pStyle w:val="ListBullet"/>
      </w:pPr>
      <w:r>
        <w:rPr>
          <w:b/>
        </w:rPr>
        <w:t xml:space="preserve">Análise documental: </w:t>
      </w:r>
      <w:r>
        <w:t>Lida em diálogo com a ACP, por matriz orientada pelos objetivos (4.4.3).</w:t>
      </w:r>
    </w:p>
    <w:p>
      <w:pPr>
        <w:pStyle w:val="ListBullet"/>
      </w:pPr>
      <w:r>
        <w:rPr>
          <w:b/>
        </w:rPr>
        <w:t xml:space="preserve">Território: </w:t>
      </w:r>
      <w:r>
        <w:t>IBGE e Censo Escolar por localidade e 38 imagens de Pipa e da escola, lidas como evidência da configuração material visível.</w:t>
      </w:r>
    </w:p>
    <w:p>
      <w:pPr>
        <w:pStyle w:val="ListBullet"/>
      </w:pPr>
      <w:r>
        <w:rPr>
          <w:b/>
        </w:rPr>
        <w:t xml:space="preserve">Registro iconográfico: </w:t>
      </w:r>
      <w:r>
        <w:t>Imagens como evidência da configuração material visível, sem valor de prova sobre práticas (4.4.4).</w:t>
      </w:r>
    </w:p>
    <w:p>
      <w:pPr>
        <w:pStyle w:val="ListBullet"/>
      </w:pPr>
      <w:r>
        <w:rPr>
          <w:b/>
        </w:rPr>
        <w:t xml:space="preserve">Lentes sensibilizadoras: </w:t>
      </w:r>
      <w:r>
        <w:t>Conceitos que orientam a primeira leitura dos dados sem se tornarem categorias fechadas (4.5.1).</w:t>
      </w:r>
    </w:p>
    <w:p>
      <w:pPr>
        <w:pStyle w:val="ListBullet"/>
      </w:pPr>
      <w:r>
        <w:rPr>
          <w:b/>
        </w:rPr>
        <w:t xml:space="preserve">Ética: </w:t>
      </w:r>
      <w:r>
        <w:t>Emenda ao protocolo aprovado no CEP; TCLE; pseudônimos; Res. CNS nº 466/2012 e nº 510/2016.</w:t>
      </w:r>
    </w:p>
    <w:p>
      <w:r>
        <w:rPr>
          <w:b/>
        </w:rPr>
        <w:t xml:space="preserve">Autores e obras: </w:t>
      </w:r>
      <w:r>
        <w:t>Mainardes (2006); Braun e Clarke (2006; 2019); BRASIL (2012; 2016).</w:t>
      </w:r>
    </w:p>
    <w:p>
      <w:r>
        <w:rPr>
          <w:b/>
        </w:rPr>
        <w:t xml:space="preserve">Onde aprofundar: </w:t>
      </w:r>
      <w:r>
        <w:t>Cap. 4, seções 4.4.2 a 4.4.6, 4.5.1, 4.5.2 e 4.5.4 (cronograma); Apêndices D (questionário) e E (roteiros).</w:t>
      </w:r>
    </w:p>
    <w:p>
      <w:r>
        <w:rPr>
          <w:b/>
        </w:rPr>
        <w:t>Perguntas de estudo</w:t>
      </w:r>
    </w:p>
    <w:p>
      <w:pPr>
        <w:pStyle w:val="ListBullet"/>
      </w:pPr>
      <w:r>
        <w:rPr>
          <w:i/>
        </w:rPr>
        <w:t>Qual a função do questionário, se não há generalização estatística? (caracterizar e contextualizar, 4.4.5).</w:t>
      </w:r>
    </w:p>
    <w:p>
      <w:r>
        <w:rPr>
          <w:b/>
          <w:color w:val="B03A2E"/>
        </w:rPr>
        <w:t xml:space="preserve">Cuidado: </w:t>
      </w:r>
      <w:r>
        <w:t>Fato: a emenda ao CEP ainda não foi submetida; dizer "será submetida".</w:t>
      </w:r>
    </w:p>
    <w:p>
      <w:r>
        <w:br w:type="page"/>
      </w:r>
    </w:p>
    <w:p>
      <w:pPr>
        <w:pStyle w:val="Heading1"/>
      </w:pPr>
      <w:r>
        <w:t>AGENDA GLOBAL E PNED</w:t>
      </w:r>
    </w:p>
    <w:p>
      <w:pPr>
        <w:pStyle w:val="Heading2"/>
      </w:pPr>
      <w:r>
        <w:t>Slide 19 · Divisor: Agenda global e PNED</w:t>
      </w:r>
    </w:p>
    <w:p>
      <w:r>
        <w:rPr>
          <w:color w:val="555555"/>
          <w:sz w:val="20"/>
        </w:rPr>
        <w:t>10 s  ·  ao final: 15:25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EF0FB"/>
          </w:tcPr>
          <w:p>
            <w:pPr>
              <w:spacing w:line="300" w:lineRule="auto"/>
              <w:jc w:val="both"/>
            </w:pPr>
            <w:r/>
            <w:r>
              <w:rPr>
                <w:sz w:val="24"/>
              </w:rPr>
              <w:t>O capítulo 5 lê os contextos de influência e de produção do texto.</w:t>
            </w:r>
          </w:p>
        </w:tc>
      </w:tr>
    </w:tbl>
    <w:p>
      <w:pPr>
        <w:spacing w:after="0"/>
      </w:pPr>
    </w:p>
    <w:p>
      <w:pPr>
        <w:pStyle w:val="Heading3"/>
      </w:pPr>
      <w:r>
        <w:t>Estudo dirigido</w:t>
      </w:r>
    </w:p>
    <w:p>
      <w:r>
        <w:rPr>
          <w:b/>
        </w:rPr>
        <w:t xml:space="preserve">Ideia central: </w:t>
      </w:r>
      <w:r>
        <w:t>Abre o capítulo 5.</w:t>
      </w:r>
    </w:p>
    <w:p>
      <w:r>
        <w:rPr>
          <w:b/>
        </w:rPr>
        <w:t xml:space="preserve">Onde aprofundar: </w:t>
      </w:r>
      <w:r>
        <w:t>Cap. 5.</w:t>
      </w:r>
    </w:p>
    <w:p>
      <w:pPr>
        <w:pStyle w:val="Heading2"/>
      </w:pPr>
      <w:r>
        <w:t>Slide 20 · O que outros territórios nos ensinam</w:t>
      </w:r>
    </w:p>
    <w:p>
      <w:r>
        <w:rPr>
          <w:color w:val="555555"/>
          <w:sz w:val="20"/>
        </w:rPr>
        <w:t>65 s  ·  ao final: 16:30</w:t>
      </w:r>
    </w:p>
    <w:p>
      <w:r>
        <w:rPr>
          <w:i/>
          <w:color w:val="555555"/>
        </w:rPr>
        <w:t>[Apontar no mapa cada país citado; não ler a lista inteira.]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EF0FB"/>
          </w:tcPr>
          <w:p>
            <w:pPr>
              <w:spacing w:line="300" w:lineRule="auto"/>
              <w:jc w:val="both"/>
            </w:pPr>
            <w:r/>
            <w:r>
              <w:rPr>
                <w:sz w:val="24"/>
              </w:rPr>
              <w:t>O capítulo começa pelas agendas da UNESCO, da OCDE e do Banco Mundial, que, com suas diferenças, deslocam o foco da presença dos recursos para as condições, os usos e as finalidades. Em seguida, compara experiências de outros territórios. O mapa reúne nove casos nas Américas, dez na Europa e o Brasil em destaque, e a cor indica a categoria principal que cada experiência informa. Nos Estados Unidos, os fossos de acesso, desenho e uso; no Uruguai, o Plan Ceibal, com acesso universal e continuidade entre governos; na Argentina, três reversões normativas em quinze anos. Na Europa, a União Europeia oferece referenciais comuns e uma estratégia de proteção infantil; a Alemanha mostra que recursos não substituem a coordenação entre escalas; e a Finlândia delega ao município a decisão sobre o uso das tecnologias, cadeia parecida com a que acompanhamos em Tibau do Sul.</w:t>
            </w:r>
          </w:p>
        </w:tc>
      </w:tr>
    </w:tbl>
    <w:p>
      <w:pPr>
        <w:spacing w:after="0"/>
      </w:pPr>
    </w:p>
    <w:p>
      <w:pPr>
        <w:pStyle w:val="Heading3"/>
      </w:pPr>
      <w:r>
        <w:t>Estudo dirigido</w:t>
      </w:r>
    </w:p>
    <w:p>
      <w:r>
        <w:rPr>
          <w:b/>
        </w:rPr>
        <w:t>Mapa conceitual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73945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2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39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Ideia central: </w:t>
      </w:r>
      <w:r>
        <w:t>Mapa de 20 experiências (Américas, Europa e Brasil) com o foco de cada política.</w:t>
      </w:r>
    </w:p>
    <w:p>
      <w:r>
        <w:rPr>
          <w:b/>
        </w:rPr>
        <w:t>Conceitos</w:t>
      </w:r>
    </w:p>
    <w:p>
      <w:pPr>
        <w:pStyle w:val="ListBullet"/>
      </w:pPr>
      <w:r>
        <w:rPr>
          <w:b/>
        </w:rPr>
        <w:t xml:space="preserve">Agendas internacionais: </w:t>
      </w:r>
      <w:r>
        <w:t>UNESCO (2023): condições e interação com professores; OCDE (2015): dúvida sobre a tradução direta do investimento em aprendizagem; Banco Mundial (2020): começa pela finalidade educacional.</w:t>
      </w:r>
    </w:p>
    <w:p>
      <w:pPr>
        <w:pStyle w:val="ListBullet"/>
      </w:pPr>
      <w:r>
        <w:rPr>
          <w:b/>
        </w:rPr>
        <w:t xml:space="preserve">Perspectiva comparada: </w:t>
      </w:r>
      <w:r>
        <w:t>Como uma mesma diretriz muda de forma ao encontrar outro sistema, outras instituições e outro território.</w:t>
      </w:r>
    </w:p>
    <w:p>
      <w:pPr>
        <w:pStyle w:val="ListBullet"/>
      </w:pPr>
      <w:r>
        <w:rPr>
          <w:b/>
        </w:rPr>
        <w:t xml:space="preserve">Fossos de acesso, desenho e uso: </w:t>
      </w:r>
      <w:r>
        <w:t>Distinção do National Educational Technology Plan (EUA, 2024).</w:t>
      </w:r>
    </w:p>
    <w:p>
      <w:pPr>
        <w:pStyle w:val="ListBullet"/>
      </w:pPr>
      <w:r>
        <w:rPr>
          <w:b/>
        </w:rPr>
        <w:t xml:space="preserve">Categoria principal (cor do mapa): </w:t>
      </w:r>
      <w:r>
        <w:t>A cor de cada país indica a categoria que a experiência mais informa.</w:t>
      </w:r>
    </w:p>
    <w:p>
      <w:r>
        <w:rPr>
          <w:b/>
        </w:rPr>
        <w:t xml:space="preserve">Autores e obras: </w:t>
      </w:r>
      <w:r>
        <w:t>UNESCO (2023); OCDE (2015); Banco Mundial (2020); Documentos oficiais de cada país (Quadros 10 e 11).</w:t>
      </w:r>
    </w:p>
    <w:p>
      <w:r>
        <w:rPr>
          <w:b/>
        </w:rPr>
        <w:t xml:space="preserve">Onde aprofundar: </w:t>
      </w:r>
      <w:r>
        <w:t>Cap. 5, seções 5.1, 5.2.1 (Europa, Quadro 10) e 5.2.2 (Américas, Quadro 11).</w:t>
      </w:r>
    </w:p>
    <w:p>
      <w:r>
        <w:rPr>
          <w:b/>
        </w:rPr>
        <w:t>Perguntas de estudo</w:t>
      </w:r>
    </w:p>
    <w:p>
      <w:pPr>
        <w:pStyle w:val="ListBullet"/>
      </w:pPr>
      <w:r>
        <w:rPr>
          <w:i/>
        </w:rPr>
        <w:t>Por que comparar com outros países, se o objeto é uma escola? (contexto de influência e categorias, 5.2.3).</w:t>
      </w:r>
    </w:p>
    <w:p>
      <w:pPr>
        <w:pStyle w:val="Heading2"/>
      </w:pPr>
      <w:r>
        <w:t>Slide 21 · O que a comparação traz para a tese</w:t>
      </w:r>
    </w:p>
    <w:p>
      <w:r>
        <w:rPr>
          <w:color w:val="555555"/>
          <w:sz w:val="20"/>
        </w:rPr>
        <w:t>75 s  ·  ao final: 17:45</w:t>
      </w:r>
    </w:p>
    <w:p>
      <w:r>
        <w:rPr>
          <w:i/>
          <w:color w:val="555555"/>
        </w:rPr>
        <w:t>[As cores dos cartões são as mesmas do mapa.]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EF0FB"/>
          </w:tcPr>
          <w:p>
            <w:pPr>
              <w:spacing w:line="300" w:lineRule="auto"/>
              <w:jc w:val="both"/>
            </w:pPr>
            <w:r/>
            <w:r>
              <w:rPr>
                <w:sz w:val="24"/>
              </w:rPr>
              <w:t>O que essa comparação traz para a tese? Das recorrências e das diferenças saem cinco categorias sensibilizadoras, que vão orientar a leitura do campo. A governança, porque coordenar escalas faz parte da política, e perguntaremos o que chega da União e do estado à rede e o que a Secretaria repassa à escola. A formação, porque a mediação dos profissionais é condição do uso, e perguntaremos que formação chegou e quando. A infraestrutura, condição relevante e insuficiente, que leva à pergunta sobre os equipamentos com que se trabalha. A continuidade institucional, que leva à história da rede municipal. E a cultura digital, ligada à cidadania e à proteção, que pergunta o que se faz com crianças de seis a dez anos. Nenhuma experiência descreve Pipa, e fica a pergunta que nenhum caso responde: o que acontece quando a PNED chega a uma escola onde parte dessas condições não está garantida?</w:t>
            </w:r>
          </w:p>
        </w:tc>
      </w:tr>
    </w:tbl>
    <w:p>
      <w:pPr>
        <w:spacing w:after="0"/>
      </w:pPr>
    </w:p>
    <w:p>
      <w:pPr>
        <w:pStyle w:val="Heading3"/>
      </w:pPr>
      <w:r>
        <w:t>Estudo dirigido</w:t>
      </w:r>
    </w:p>
    <w:p>
      <w:r>
        <w:rPr>
          <w:b/>
        </w:rPr>
        <w:t>Mapa conceitual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94609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2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46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Ideia central: </w:t>
      </w:r>
      <w:r>
        <w:t>Cinco categorias sensibilizadoras e a pergunta que nenhum caso responde.</w:t>
      </w:r>
    </w:p>
    <w:p>
      <w:r>
        <w:rPr>
          <w:b/>
        </w:rPr>
        <w:t>Conceitos</w:t>
      </w:r>
    </w:p>
    <w:p>
      <w:pPr>
        <w:pStyle w:val="ListBullet"/>
      </w:pPr>
      <w:r>
        <w:rPr>
          <w:b/>
        </w:rPr>
        <w:t xml:space="preserve">Governança: </w:t>
      </w:r>
      <w:r>
        <w:t>Coordenação entre escalas de governo (União, estado, município).</w:t>
      </w:r>
    </w:p>
    <w:p>
      <w:pPr>
        <w:pStyle w:val="ListBullet"/>
      </w:pPr>
      <w:r>
        <w:rPr>
          <w:b/>
        </w:rPr>
        <w:t xml:space="preserve">Formação: </w:t>
      </w:r>
      <w:r>
        <w:t>Mediação dos profissionais como condição do uso.</w:t>
      </w:r>
    </w:p>
    <w:p>
      <w:pPr>
        <w:pStyle w:val="ListBullet"/>
      </w:pPr>
      <w:r>
        <w:rPr>
          <w:b/>
        </w:rPr>
        <w:t xml:space="preserve">Infraestrutura: </w:t>
      </w:r>
      <w:r>
        <w:t>Condição relevante e insuficiente para a integração pedagógica.</w:t>
      </w:r>
    </w:p>
    <w:p>
      <w:pPr>
        <w:pStyle w:val="ListBullet"/>
      </w:pPr>
      <w:r>
        <w:rPr>
          <w:b/>
        </w:rPr>
        <w:t xml:space="preserve">Continuidade institucional: </w:t>
      </w:r>
      <w:r>
        <w:t>A continuidade favorece a institucionalização sem impedir rupturas.</w:t>
      </w:r>
    </w:p>
    <w:p>
      <w:pPr>
        <w:pStyle w:val="ListBullet"/>
      </w:pPr>
      <w:r>
        <w:rPr>
          <w:b/>
        </w:rPr>
        <w:t xml:space="preserve">Cultura digital: </w:t>
      </w:r>
      <w:r>
        <w:t>Educação digital além do domínio técnico; dialoga com o inciso III do eixo.</w:t>
      </w:r>
    </w:p>
    <w:p>
      <w:r>
        <w:rPr>
          <w:b/>
        </w:rPr>
        <w:t xml:space="preserve">Autores e obras: </w:t>
      </w:r>
      <w:r>
        <w:t>Quadro 12 do cap. 5, construído a partir dos Quadros 10 e 11.</w:t>
      </w:r>
    </w:p>
    <w:p>
      <w:r>
        <w:rPr>
          <w:b/>
        </w:rPr>
        <w:t xml:space="preserve">Onde aprofundar: </w:t>
      </w:r>
      <w:r>
        <w:t>Cap. 5, seção 5.2.3 e Quadro 12.</w:t>
      </w:r>
    </w:p>
    <w:p>
      <w:r>
        <w:rPr>
          <w:b/>
        </w:rPr>
        <w:t>Perguntas de estudo</w:t>
      </w:r>
    </w:p>
    <w:p>
      <w:pPr>
        <w:pStyle w:val="ListBullet"/>
      </w:pPr>
      <w:r>
        <w:rPr>
          <w:i/>
        </w:rPr>
        <w:t>As categorias são padrões a confirmar? (não: lentes heurísticas, abertas ao campo, 5.2.3).</w:t>
      </w:r>
    </w:p>
    <w:p>
      <w:pPr>
        <w:pStyle w:val="Heading2"/>
      </w:pPr>
      <w:r>
        <w:t>Slide 22 · A PNED e o vazio material</w:t>
      </w:r>
    </w:p>
    <w:p>
      <w:r>
        <w:rPr>
          <w:color w:val="555555"/>
          <w:sz w:val="20"/>
        </w:rPr>
        <w:t>85 s  ·  ao final: 19:10</w:t>
      </w:r>
    </w:p>
    <w:p>
      <w:r>
        <w:rPr>
          <w:i/>
          <w:color w:val="555555"/>
        </w:rPr>
        <w:t>[Ler o cartão da esquerda de cima para baixo; depois o da direita. Pausa em "vazio material".]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EF0FB"/>
          </w:tcPr>
          <w:p>
            <w:pPr>
              <w:spacing w:line="300" w:lineRule="auto"/>
              <w:jc w:val="both"/>
            </w:pPr>
            <w:r/>
            <w:r>
              <w:rPr>
                <w:sz w:val="24"/>
              </w:rPr>
              <w:t>A leitura da lei me levou ao ponto que considero mais frágil. Começo pelo que a lei entende por educação digital: letramento digital e informacional e aprendizagem de computação, programação, robótica e outras competências digitais, em todos os níveis e modalidades. Há o que é inegociável. Desde a derrubada do veto, em dezembro de 2023, a educação digital é componente curricular obrigatório do ensino fundamental; a LDB passou a incluí-la entre os deveres do Estado, com conectividade garantida às escolas públicas; e a resolução de 2025 marcou a implementação dos currículos para 2026. Do outro lado estão os meios. A formação aparece como ação de promoção, a inclusão digital se desenvolve dentro dos limites orçamentários de cada ente, e o artigo 11 não cria fundo próprio nem transferência obrigatória aos municípios. Chamo esse desenho de vazio material: a obrigação tem data, e os meios não. Trato isso como proposição a verificar no campo; para separar o desenho da lei da capacidade fiscal do município, ainda preciso reunir os dados de receita e de gasto em educação de Tibau do Sul.</w:t>
            </w:r>
          </w:p>
        </w:tc>
      </w:tr>
    </w:tbl>
    <w:p>
      <w:pPr>
        <w:spacing w:after="0"/>
      </w:pPr>
    </w:p>
    <w:p>
      <w:pPr>
        <w:pStyle w:val="Heading3"/>
      </w:pPr>
      <w:r>
        <w:t>Estudo dirigido</w:t>
      </w:r>
    </w:p>
    <w:p>
      <w:r>
        <w:rPr>
          <w:b/>
        </w:rPr>
        <w:t>Mapa conceitual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6121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2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61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Ideia central: </w:t>
      </w:r>
      <w:r>
        <w:t>O que a lei entende por educação digital, o que torna inegociável e com que meios: a obrigação tem data, os meios dependem de cada ente.</w:t>
      </w:r>
    </w:p>
    <w:p>
      <w:r>
        <w:rPr>
          <w:b/>
        </w:rPr>
        <w:t>Conceitos</w:t>
      </w:r>
    </w:p>
    <w:p>
      <w:pPr>
        <w:pStyle w:val="ListBullet"/>
      </w:pPr>
      <w:r>
        <w:rPr>
          <w:b/>
        </w:rPr>
        <w:t xml:space="preserve">Educação digital, para a lei: </w:t>
      </w:r>
      <w:r>
        <w:t>O art. 3º fixa o objetivo do eixo: "garantir a inserção da educação digital nos ambientes escolares, em todos os níveis e modalidades, a partir do estímulo ao letramento digital e informacional e à aprendizagem de computação, de programação, de robótica e de outras competências digitais". Cinco incisos: pensamento computacional, mundo digital, cultura digital, direitos digitais e tecnologia assistiva (Quadro 14).</w:t>
      </w:r>
    </w:p>
    <w:p>
      <w:pPr>
        <w:pStyle w:val="ListBullet"/>
      </w:pPr>
      <w:r>
        <w:rPr>
          <w:b/>
        </w:rPr>
        <w:t xml:space="preserve">Inegociável 1: componente curricular: </w:t>
      </w:r>
      <w:r>
        <w:t>O dispositivo vetado (Veto Parcial nº 3/2023, Mensagem nº 32) foi restabelecido com a derrubada do veto em 14/12/2023: a educação digital é componente curricular do ensino fundamental, o que alcança os anos iniciais.</w:t>
      </w:r>
    </w:p>
    <w:p>
      <w:pPr>
        <w:pStyle w:val="ListBullet"/>
      </w:pPr>
      <w:r>
        <w:rPr>
          <w:b/>
        </w:rPr>
        <w:t xml:space="preserve">Inegociável 2: dever do Estado: </w:t>
      </w:r>
      <w:r>
        <w:t>A lei inseriu o inciso XII no art. 4º da LDB: educação digital "com a garantia de conectividade de todas as instituições públicas de educação básica e superior à internet em alta velocidade, adequada para o uso pedagógico" (BRASIL, 2023a, art. 7º).</w:t>
      </w:r>
    </w:p>
    <w:p>
      <w:pPr>
        <w:pStyle w:val="ListBullet"/>
      </w:pPr>
      <w:r>
        <w:rPr>
          <w:b/>
        </w:rPr>
        <w:t xml:space="preserve">Inegociável 3: prazo: </w:t>
      </w:r>
      <w:r>
        <w:t>Res. CNE/CEB nº 2/2025: currículos e plano de formação elaborados em 2025, implementação obrigatória a partir de 2026 (art. 36); formação continuada atribuída aos sistemas e às instituições (art. 37).</w:t>
      </w:r>
    </w:p>
    <w:p>
      <w:pPr>
        <w:pStyle w:val="ListBullet"/>
      </w:pPr>
      <w:r>
        <w:rPr>
          <w:b/>
        </w:rPr>
        <w:t xml:space="preserve">Meios: </w:t>
      </w:r>
      <w:r>
        <w:t>Formação como "promoção" (art. 3º, § 1º, IX e X); inclusão digital "dentro dos limites orçamentários" (art. 2º); art. 11 sem fundo próprio nem transferência obrigatória; o Fust perdeu em 2020 a reserva mínima para a educação.</w:t>
      </w:r>
    </w:p>
    <w:p>
      <w:pPr>
        <w:pStyle w:val="ListBullet"/>
      </w:pPr>
      <w:r>
        <w:rPr>
          <w:b/>
        </w:rPr>
        <w:t xml:space="preserve">Vazio material: </w:t>
      </w:r>
      <w:r>
        <w:t>Formulação da tese: falta de mecanismo federativo obrigatório de financiamento, que deixa a chegada dos meios na dependência de cada rede. Proposição a verificar no campo.</w:t>
      </w:r>
    </w:p>
    <w:p>
      <w:r>
        <w:rPr>
          <w:b/>
        </w:rPr>
        <w:t xml:space="preserve">Autores e obras: </w:t>
      </w:r>
      <w:r>
        <w:t>BRASIL (2023a, arts. 1º, 2º, 3º, 7º e 11); BRASIL (2023b), Mensagem de veto nº 32; BRASIL (2023c), promulgação das partes vetadas; BRASIL (2025a, arts. 36 e 37).</w:t>
      </w:r>
    </w:p>
    <w:p>
      <w:r>
        <w:rPr>
          <w:b/>
        </w:rPr>
        <w:t xml:space="preserve">Onde aprofundar: </w:t>
      </w:r>
      <w:r>
        <w:t>Cap. 5, seções 5.3 (trajetória brasileira), 5.4, 5.5 e 5.6; Cap. 1, seção 1.2 (problematização).</w:t>
      </w:r>
    </w:p>
    <w:p>
      <w:r>
        <w:rPr>
          <w:b/>
        </w:rPr>
        <w:t>Perguntas de estudo</w:t>
      </w:r>
    </w:p>
    <w:p>
      <w:pPr>
        <w:pStyle w:val="ListBullet"/>
      </w:pPr>
      <w:r>
        <w:rPr>
          <w:i/>
        </w:rPr>
        <w:t>O que é inegociável na lei, e o que é só promoção? (cartão da esquerda e cartão da direita).</w:t>
      </w:r>
    </w:p>
    <w:p>
      <w:pPr>
        <w:pStyle w:val="ListBullet"/>
      </w:pPr>
      <w:r>
        <w:rPr>
          <w:i/>
        </w:rPr>
        <w:t>Como separar o desenho da lei da capacidade fiscal do município? (dados de receita e gasto, ainda a reunir, cap. 5).</w:t>
      </w:r>
    </w:p>
    <w:p>
      <w:r>
        <w:rPr>
          <w:b/>
          <w:color w:val="B03A2E"/>
        </w:rPr>
        <w:t xml:space="preserve">Cuidado: </w:t>
      </w:r>
      <w:r>
        <w:t>Fato: os artigos citados vêm do cap. 5. Não conferido aqui no texto original da lei.</w:t>
      </w:r>
    </w:p>
    <w:p>
      <w:r>
        <w:br w:type="page"/>
      </w:r>
    </w:p>
    <w:p>
      <w:pPr>
        <w:pStyle w:val="Heading1"/>
      </w:pPr>
      <w:r>
        <w:t>DO MUNICÍPIO À ESCOLA</w:t>
      </w:r>
    </w:p>
    <w:p>
      <w:pPr>
        <w:pStyle w:val="Heading2"/>
      </w:pPr>
      <w:r>
        <w:t>Slide 23 · Divisor: Do município à escola</w:t>
      </w:r>
    </w:p>
    <w:p>
      <w:r>
        <w:rPr>
          <w:color w:val="555555"/>
          <w:sz w:val="20"/>
        </w:rPr>
        <w:t>10 s  ·  ao final: 19:20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EF0FB"/>
          </w:tcPr>
          <w:p>
            <w:pPr>
              <w:spacing w:line="300" w:lineRule="auto"/>
              <w:jc w:val="both"/>
            </w:pPr>
            <w:r/>
            <w:r>
              <w:rPr>
                <w:sz w:val="24"/>
              </w:rPr>
              <w:t>Chego ao capítulo 6, que percorre o caminho de Tibau do Sul até Pipa e até a escola.</w:t>
            </w:r>
          </w:p>
        </w:tc>
      </w:tr>
    </w:tbl>
    <w:p>
      <w:pPr>
        <w:spacing w:after="0"/>
      </w:pPr>
    </w:p>
    <w:p>
      <w:pPr>
        <w:pStyle w:val="Heading3"/>
      </w:pPr>
      <w:r>
        <w:t>Estudo dirigido</w:t>
      </w:r>
    </w:p>
    <w:p>
      <w:r>
        <w:rPr>
          <w:b/>
        </w:rPr>
        <w:t xml:space="preserve">Ideia central: </w:t>
      </w:r>
      <w:r>
        <w:t>Abre o capítulo 6.</w:t>
      </w:r>
    </w:p>
    <w:p>
      <w:r>
        <w:rPr>
          <w:b/>
        </w:rPr>
        <w:t xml:space="preserve">Onde aprofundar: </w:t>
      </w:r>
      <w:r>
        <w:t>Cap. 6.</w:t>
      </w:r>
    </w:p>
    <w:p>
      <w:pPr>
        <w:pStyle w:val="Heading2"/>
      </w:pPr>
      <w:r>
        <w:t>Slide 24 · Tibau do Sul</w:t>
      </w:r>
    </w:p>
    <w:p>
      <w:r>
        <w:rPr>
          <w:color w:val="555555"/>
          <w:sz w:val="20"/>
        </w:rPr>
        <w:t>65 s  ·  ao final: 20:25</w:t>
      </w:r>
    </w:p>
    <w:p>
      <w:r>
        <w:rPr>
          <w:i/>
          <w:color w:val="555555"/>
        </w:rPr>
        <w:t>[Apontar no mapa o litoral e a extensão do município.]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EF0FB"/>
          </w:tcPr>
          <w:p>
            <w:pPr>
              <w:spacing w:line="300" w:lineRule="auto"/>
              <w:jc w:val="both"/>
            </w:pPr>
            <w:r/>
            <w:r>
              <w:rPr>
                <w:sz w:val="24"/>
              </w:rPr>
              <w:t>Tibau do Sul tem 102 quilômetros quadrados e tinha 16.929 habitantes no Censo de 2022; em 2010, cerca de 40% da população vivia em área rural, dado que ainda vou conferir. O IBGE reconhece só o distrito sede, mas o município se organiza em localidades muito diferentes: a sede, Pipa, Piau, os povoados rurais e Sibaúma, comunidade quilombola certificada pela Fundação Palmares em 2005. A rede tem escolas nesses lugares, e a história delas importa: em Sibaúma, entre 2007 e 2009, a escola recebeu dois computadores que estragaram sem manutenção, e a internet foi desativada, como registra Silva. Segundo o técnico da Secretaria, há um plano elaborado para a rede como um todo. A pergunta é se a tradução municipal da PNED considera essas diferenças e o que chega, por esse caminho, a Pipa.</w:t>
            </w:r>
          </w:p>
        </w:tc>
      </w:tr>
    </w:tbl>
    <w:p>
      <w:pPr>
        <w:spacing w:after="0"/>
      </w:pPr>
    </w:p>
    <w:p>
      <w:pPr>
        <w:pStyle w:val="Heading3"/>
      </w:pPr>
      <w:r>
        <w:t>Estudo dirigido</w:t>
      </w:r>
    </w:p>
    <w:p>
      <w:r>
        <w:rPr>
          <w:b/>
        </w:rPr>
        <w:t>Mapa conceitual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73945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2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39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Ideia central: </w:t>
      </w:r>
      <w:r>
        <w:t>Um município, muitas localidades: a pergunta é se a tradução municipal da PNED considera essas diferenças e o que chega a Pipa.</w:t>
      </w:r>
    </w:p>
    <w:p>
      <w:r>
        <w:rPr>
          <w:b/>
        </w:rPr>
        <w:t>Conceitos</w:t>
      </w:r>
    </w:p>
    <w:p>
      <w:pPr>
        <w:pStyle w:val="ListBullet"/>
      </w:pPr>
      <w:r>
        <w:rPr>
          <w:b/>
        </w:rPr>
        <w:t xml:space="preserve">O município: </w:t>
      </w:r>
      <w:r>
        <w:t>102,68 km² e 16.929 habitantes (IBGE, 2023; 2025). Cerca de 40% rurais em 2010: dado a conferir.</w:t>
      </w:r>
    </w:p>
    <w:p>
      <w:pPr>
        <w:pStyle w:val="ListBullet"/>
      </w:pPr>
      <w:r>
        <w:rPr>
          <w:b/>
        </w:rPr>
        <w:t xml:space="preserve">Localidades: </w:t>
      </w:r>
      <w:r>
        <w:t>O IBGE reconhece só o distrito sede; o município se organiza em sede, Pipa, Sibaúma, Piau e povoados rurais. Alves (2018, p. 96) chama Pipa e Sibaúma de "distritos".</w:t>
      </w:r>
    </w:p>
    <w:p>
      <w:pPr>
        <w:pStyle w:val="ListBullet"/>
      </w:pPr>
      <w:r>
        <w:rPr>
          <w:b/>
        </w:rPr>
        <w:t xml:space="preserve">Sibaúma: </w:t>
      </w:r>
      <w:r>
        <w:t>Comunidade quilombola certificada pela Fundação Cultural Palmares em 2005. Escola de palha até 1980; computadores em 2007-2009 estragaram sem manutenção e a internet foi desativada (SILVA, 2011, p. 101-102); sem proposta pedagógica quilombola.</w:t>
      </w:r>
    </w:p>
    <w:p>
      <w:pPr>
        <w:pStyle w:val="ListBullet"/>
      </w:pPr>
      <w:r>
        <w:rPr>
          <w:b/>
        </w:rPr>
        <w:t xml:space="preserve">A rede e a SME: </w:t>
      </w:r>
      <w:r>
        <w:t>Escolas na sede, em Pipa, em Sibaúma, em Piau e nos povoados (levantamento preliminar). Segundo o técnico da SME, há um plano elaborado para a rede como um todo.</w:t>
      </w:r>
    </w:p>
    <w:p>
      <w:pPr>
        <w:pStyle w:val="ListBullet"/>
      </w:pPr>
      <w:r>
        <w:rPr>
          <w:b/>
        </w:rPr>
        <w:t xml:space="preserve">Dimensão externa: </w:t>
      </w:r>
      <w:r>
        <w:t>A SME como fonte própria da dimensão externa do contexto (BMB, 2016, p. 38).</w:t>
      </w:r>
    </w:p>
    <w:p>
      <w:r>
        <w:rPr>
          <w:b/>
        </w:rPr>
        <w:t xml:space="preserve">Autores e obras: </w:t>
      </w:r>
      <w:r>
        <w:t>IBGE (2023; 2025); Fundação Cultural Palmares (2005); Silva (2011); Alves (2018); Santos (1999), território usado.</w:t>
      </w:r>
    </w:p>
    <w:p>
      <w:r>
        <w:rPr>
          <w:b/>
        </w:rPr>
        <w:t xml:space="preserve">Onde aprofundar: </w:t>
      </w:r>
      <w:r>
        <w:t>Cap. 6, seções 6.1.1 e 6.1.2; Cap. 4, Quadro 9 (percurso do objetivo geral).</w:t>
      </w:r>
    </w:p>
    <w:p>
      <w:r>
        <w:rPr>
          <w:b/>
        </w:rPr>
        <w:t>Perguntas de estudo</w:t>
      </w:r>
    </w:p>
    <w:p>
      <w:pPr>
        <w:pStyle w:val="ListBullet"/>
      </w:pPr>
      <w:r>
        <w:rPr>
          <w:i/>
        </w:rPr>
        <w:t>Um plano único para a rede considera as diferenças entre as localidades? (pergunta do campo, a responder com os documentos e a entrevista).</w:t>
      </w:r>
    </w:p>
    <w:p>
      <w:pPr>
        <w:pStyle w:val="ListBullet"/>
      </w:pPr>
      <w:r>
        <w:rPr>
          <w:i/>
        </w:rPr>
        <w:t>O que o caso de Sibaúma ensina sobre a chegada de equipamentos sem manutenção? (rugosidade tecnológica como hipótese, cap. 6).</w:t>
      </w:r>
    </w:p>
    <w:p>
      <w:r>
        <w:rPr>
          <w:b/>
          <w:color w:val="B03A2E"/>
        </w:rPr>
        <w:t xml:space="preserve">Cuidado: </w:t>
      </w:r>
      <w:r>
        <w:t>Estimativa: "cerca de 40% rurais em 2010" está marcado como a conferir; dizer isso na fala.</w:t>
      </w:r>
    </w:p>
    <w:p>
      <w:pPr>
        <w:pStyle w:val="Heading2"/>
      </w:pPr>
      <w:r>
        <w:t>Slide 25 · Pipa</w:t>
      </w:r>
    </w:p>
    <w:p>
      <w:r>
        <w:rPr>
          <w:color w:val="555555"/>
          <w:sz w:val="20"/>
        </w:rPr>
        <w:t>35 s  ·  ao final: 21:00</w:t>
      </w:r>
    </w:p>
    <w:p>
      <w:r>
        <w:rPr>
          <w:i/>
          <w:color w:val="555555"/>
        </w:rPr>
        <w:t>[Apontar as fotografias da esquerda para a direita.]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EF0FB"/>
          </w:tcPr>
          <w:p>
            <w:pPr>
              <w:spacing w:line="300" w:lineRule="auto"/>
              <w:jc w:val="both"/>
            </w:pPr>
            <w:r/>
            <w:r>
              <w:rPr>
                <w:sz w:val="24"/>
              </w:rPr>
              <w:t>Pipa é o foco da tese. Nos anos 1970, era uma comunidade agrícola e pesqueira; os surfistas chegaram em meados daquela década, e a divulgação se intensificou nos anos 1990, como registra Aires. As fotografias acompanham esse percurso: a embarcação artesanal, os surfistas em abril de 1991 e a vista aérea de hoje. Hoje, pousadas, restaurantes e passeios se vendem pela internet. Em Pipa, o digital já move a economia do lugar.</w:t>
            </w:r>
          </w:p>
        </w:tc>
      </w:tr>
    </w:tbl>
    <w:p>
      <w:pPr>
        <w:spacing w:after="0"/>
      </w:pPr>
    </w:p>
    <w:p>
      <w:pPr>
        <w:pStyle w:val="Heading3"/>
      </w:pPr>
      <w:r>
        <w:t>Estudo dirigido</w:t>
      </w:r>
    </w:p>
    <w:p>
      <w:r>
        <w:rPr>
          <w:b/>
        </w:rPr>
        <w:t>Mapa conceitual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45606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2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56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Ideia central: </w:t>
      </w:r>
      <w:r>
        <w:t>De comunidade agrícola e pesqueira a polo turístico, onde o digital já move a economia do lugar.</w:t>
      </w:r>
    </w:p>
    <w:p>
      <w:r>
        <w:rPr>
          <w:b/>
        </w:rPr>
        <w:t>Conceitos</w:t>
      </w:r>
    </w:p>
    <w:p>
      <w:pPr>
        <w:pStyle w:val="ListBullet"/>
      </w:pPr>
      <w:r>
        <w:rPr>
          <w:b/>
        </w:rPr>
        <w:t xml:space="preserve">Transformação do distrito: </w:t>
      </w:r>
      <w:r>
        <w:t>Anos 1970 sem energia elétrica e água encanada; surfistas desde meados da década; divulgação intensa nos anos 1990 (AIRES, 2012, p. 80-82).</w:t>
      </w:r>
    </w:p>
    <w:p>
      <w:pPr>
        <w:pStyle w:val="ListBullet"/>
      </w:pPr>
      <w:r>
        <w:rPr>
          <w:b/>
        </w:rPr>
        <w:t xml:space="preserve">Fases do turismo: </w:t>
      </w:r>
      <w:r>
        <w:t>Alves (2018, p. 100-111) descreve quatro fases do turismo em Pipa.</w:t>
      </w:r>
    </w:p>
    <w:p>
      <w:pPr>
        <w:pStyle w:val="ListBullet"/>
      </w:pPr>
      <w:r>
        <w:rPr>
          <w:b/>
        </w:rPr>
        <w:t xml:space="preserve">Agência dos nativos: </w:t>
      </w:r>
      <w:r>
        <w:t>A população nativa criou "mecanismos de reformulações materiais e simbólicas" (AIRES, 2012, p. 10).</w:t>
      </w:r>
    </w:p>
    <w:p>
      <w:pPr>
        <w:pStyle w:val="ListBullet"/>
      </w:pPr>
      <w:r>
        <w:rPr>
          <w:b/>
        </w:rPr>
        <w:t xml:space="preserve">Contemporaneidade: </w:t>
      </w:r>
      <w:r>
        <w:t>Massey critica a operação que "transforma a geografia em história, o espaço em tempo" (2008, p. 24).</w:t>
      </w:r>
    </w:p>
    <w:p>
      <w:pPr>
        <w:pStyle w:val="ListBullet"/>
      </w:pPr>
      <w:r>
        <w:rPr>
          <w:b/>
        </w:rPr>
        <w:t xml:space="preserve">Escolas de Pipa: </w:t>
      </w:r>
      <w:r>
        <w:t>A EM Vicência Castelo, fundada em 1988, é a única escola pública de anos finais em Pipa, com 4 computadores e sem laboratório (FERREIRA, 2022, p. 50-51).</w:t>
      </w:r>
    </w:p>
    <w:p>
      <w:r>
        <w:rPr>
          <w:b/>
        </w:rPr>
        <w:t xml:space="preserve">Autores e obras: </w:t>
      </w:r>
      <w:r>
        <w:t>Aires (2012); Alves (2018); Ferreira (2022); Massey (2008).</w:t>
      </w:r>
    </w:p>
    <w:p>
      <w:r>
        <w:rPr>
          <w:b/>
        </w:rPr>
        <w:t xml:space="preserve">Onde aprofundar: </w:t>
      </w:r>
      <w:r>
        <w:t>Cap. 6, seção 6.1 e Apêndice F (caderno iconográfico).</w:t>
      </w:r>
    </w:p>
    <w:p>
      <w:r>
        <w:rPr>
          <w:b/>
        </w:rPr>
        <w:t>Perguntas de estudo</w:t>
      </w:r>
    </w:p>
    <w:p>
      <w:pPr>
        <w:pStyle w:val="ListBullet"/>
      </w:pPr>
      <w:r>
        <w:rPr>
          <w:i/>
        </w:rPr>
        <w:t>O que o registro iconográfico pode e não pode provar? (4.4.4 e 6.1).</w:t>
      </w:r>
    </w:p>
    <w:p>
      <w:r>
        <w:rPr>
          <w:b/>
          <w:color w:val="B03A2E"/>
        </w:rPr>
        <w:t xml:space="preserve">Cuidado: </w:t>
      </w:r>
      <w:r>
        <w:t>A conferir: licença das fotografias do Museu Digital de Pipa.</w:t>
      </w:r>
    </w:p>
    <w:p>
      <w:pPr>
        <w:pStyle w:val="Heading2"/>
      </w:pPr>
      <w:r>
        <w:t>Slide 26 · A escola</w:t>
      </w:r>
    </w:p>
    <w:p>
      <w:r>
        <w:rPr>
          <w:color w:val="555555"/>
          <w:sz w:val="20"/>
        </w:rPr>
        <w:t>50 s  ·  ao final: 21:50</w:t>
      </w:r>
    </w:p>
    <w:p>
      <w:r>
        <w:rPr>
          <w:i/>
          <w:color w:val="555555"/>
        </w:rPr>
        <w:t>[Apontar o laboratório, a sala e o alfabeto móvel.]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EF0FB"/>
          </w:tcPr>
          <w:p>
            <w:pPr>
              <w:spacing w:line="300" w:lineRule="auto"/>
              <w:jc w:val="both"/>
            </w:pPr>
            <w:r/>
            <w:r>
              <w:rPr>
                <w:sz w:val="24"/>
              </w:rPr>
              <w:t>Na escola, o retrato é outro. O laboratório de informática foi fotografado com os equipamentos desligados, nas salas dos primeiros anos não havia nenhum dispositivo, e as crianças se alfabetizam com um alfabeto móvel feito à mão. Segundo informação preliminar, ainda a confirmar, os computadores foram comprados pela Prefeitura em 2022. Chamamos essa situação de rugosidade tecnológica, com Milton Santos: a forma permanece aguardando o próximo movimento dinâmico da sociedade. O caso de Sibaúma sugere que essa história pode se repetir na rede. E Massey nos impede de ler a distância entre a escola e o polo turístico como atraso: os dois são contemporâneos.</w:t>
            </w:r>
          </w:p>
        </w:tc>
      </w:tr>
    </w:tbl>
    <w:p>
      <w:pPr>
        <w:spacing w:after="0"/>
      </w:pPr>
    </w:p>
    <w:p>
      <w:pPr>
        <w:pStyle w:val="Heading3"/>
      </w:pPr>
      <w:r>
        <w:t>Estudo dirigido</w:t>
      </w:r>
    </w:p>
    <w:p>
      <w:r>
        <w:rPr>
          <w:b/>
        </w:rPr>
        <w:t>Mapa conceitual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45606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2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56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Ideia central: </w:t>
      </w:r>
      <w:r>
        <w:t>Laboratório desligado, salas sem telas e alfabeto móvel feito à mão.</w:t>
      </w:r>
    </w:p>
    <w:p>
      <w:r>
        <w:rPr>
          <w:b/>
        </w:rPr>
        <w:t>Conceitos</w:t>
      </w:r>
    </w:p>
    <w:p>
      <w:pPr>
        <w:pStyle w:val="ListBullet"/>
      </w:pPr>
      <w:r>
        <w:rPr>
          <w:b/>
        </w:rPr>
        <w:t xml:space="preserve">A escola: </w:t>
      </w:r>
      <w:r>
        <w:t>EM Domitila Castelo da Silva: 351 crianças em 15 turmas dos anos iniciais (TIBAU DO SUL, 2026). Computadores comprados em 2022: informação preliminar a confirmar.</w:t>
      </w:r>
    </w:p>
    <w:p>
      <w:pPr>
        <w:pStyle w:val="ListBullet"/>
      </w:pPr>
      <w:r>
        <w:rPr>
          <w:b/>
        </w:rPr>
        <w:t xml:space="preserve">Sistemas de objetos e de ações: </w:t>
      </w:r>
      <w:r>
        <w:t>Os objetos técnicos condicionam as ações possíveis (SANTOS, 2006, p. 39).</w:t>
      </w:r>
    </w:p>
    <w:p>
      <w:pPr>
        <w:pStyle w:val="ListBullet"/>
      </w:pPr>
      <w:r>
        <w:rPr>
          <w:b/>
        </w:rPr>
        <w:t xml:space="preserve">Rugosidade tecnológica: </w:t>
      </w:r>
      <w:r>
        <w:t>Formulação da tese: equipamentos de uma iniciativa anterior à lei chamados a nova função; a forma "permanece aguardando o próximo movimento dinâmico da sociedade" (SANTOS, 2012, p. 74-75).</w:t>
      </w:r>
    </w:p>
    <w:p>
      <w:pPr>
        <w:pStyle w:val="ListBullet"/>
      </w:pPr>
      <w:r>
        <w:rPr>
          <w:b/>
        </w:rPr>
        <w:t xml:space="preserve">Passado técnico da forma: </w:t>
      </w:r>
      <w:r>
        <w:t>"Uma realidade a ser levada em consideração" (SANTOS, 2012, p. 73).</w:t>
      </w:r>
    </w:p>
    <w:p>
      <w:r>
        <w:rPr>
          <w:b/>
        </w:rPr>
        <w:t xml:space="preserve">Autores e obras: </w:t>
      </w:r>
      <w:r>
        <w:t>Santos (2006, p. 39, 92); Santos (2012, p. 73-75).</w:t>
      </w:r>
    </w:p>
    <w:p>
      <w:r>
        <w:rPr>
          <w:b/>
        </w:rPr>
        <w:t xml:space="preserve">Onde aprofundar: </w:t>
      </w:r>
      <w:r>
        <w:t>Cap. 6, seções 6.2 e 6.3.</w:t>
      </w:r>
    </w:p>
    <w:p>
      <w:r>
        <w:rPr>
          <w:b/>
        </w:rPr>
        <w:t>Perguntas de estudo</w:t>
      </w:r>
    </w:p>
    <w:p>
      <w:pPr>
        <w:pStyle w:val="ListBullet"/>
      </w:pPr>
      <w:r>
        <w:rPr>
          <w:i/>
        </w:rPr>
        <w:t>O laboratório desligado prova ausência de uso? (não: depende dos cadernos de uso e das entrevistas, 6.3).</w:t>
      </w:r>
    </w:p>
    <w:p>
      <w:r>
        <w:rPr>
          <w:b/>
          <w:color w:val="B03A2E"/>
        </w:rPr>
        <w:t xml:space="preserve">Cuidado: </w:t>
      </w:r>
      <w:r>
        <w:t>Estimativa: a compra dos computadores em 2022 é informação preliminar.</w:t>
      </w:r>
    </w:p>
    <w:p>
      <w:r>
        <w:br w:type="page"/>
      </w:r>
    </w:p>
    <w:p>
      <w:pPr>
        <w:pStyle w:val="Heading1"/>
      </w:pPr>
      <w:r>
        <w:t>TESE E ENCERRAMENTO</w:t>
      </w:r>
    </w:p>
    <w:p>
      <w:pPr>
        <w:pStyle w:val="Heading2"/>
      </w:pPr>
      <w:r>
        <w:t>Slide 27 · Tese de partida e formulações</w:t>
      </w:r>
    </w:p>
    <w:p>
      <w:r>
        <w:rPr>
          <w:color w:val="555555"/>
          <w:sz w:val="20"/>
        </w:rPr>
        <w:t>75 s  ·  ao final: 23:05</w:t>
      </w:r>
    </w:p>
    <w:p>
      <w:r>
        <w:rPr>
          <w:i/>
          <w:color w:val="555555"/>
        </w:rPr>
        <w:t>[Ler a tese de partida em tom mais lento. É o centro da apresentação.]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EF0FB"/>
          </w:tcPr>
          <w:p>
            <w:pPr>
              <w:spacing w:line="300" w:lineRule="auto"/>
              <w:jc w:val="both"/>
            </w:pPr>
            <w:r/>
            <w:r>
              <w:rPr>
                <w:sz w:val="24"/>
              </w:rPr>
              <w:t>Com isso chego à tese de partida. A forma assumida pela PNED no cotidiano escolar resulta da relação entre o que ela prescreve, o que a rede municipal traduz e as condições sob as quais os profissionais precisam atuar. Dessa relação podem surgir adesão, acomodação, adaptação, omissão seletiva, negociação, ressignificação e resistência, e esta última permanece hipótese a examinar nos dados. As condições materiais fazem parte da política; Bowe, Ball e Gold já diziam que as políticas carregam restrições e possibilidades materiais. A tese chega à qualificação com três formulações para confrontar com o campo. Habitar o digital pergunta quem consegue habitar o digital, em que condições e com quais possibilidades de participação. Rugosidade tecnológica nomeia os equipamentos de 2022, anteriores à lei, chamados a cumprir nova função. Vazio material nomeia a exigência curricular com data marcada e meios sem mecanismo federativo obrigatório. As três poderão ser confirmadas, revistas ou abandonadas diante dos dados.</w:t>
            </w:r>
          </w:p>
        </w:tc>
      </w:tr>
    </w:tbl>
    <w:p>
      <w:pPr>
        <w:spacing w:after="0"/>
      </w:pPr>
    </w:p>
    <w:p>
      <w:pPr>
        <w:pStyle w:val="Heading3"/>
      </w:pPr>
      <w:r>
        <w:t>Estudo dirigido</w:t>
      </w:r>
    </w:p>
    <w:p>
      <w:r>
        <w:rPr>
          <w:b/>
        </w:rPr>
        <w:t>Mapa conceitual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01103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2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11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Ideia central: </w:t>
      </w:r>
      <w:r>
        <w:t>A forma da PNED na escola resulta da relação entre o que ela prescreve, o que a rede municipal traduz e as condições sob as quais os profissionais atuam.</w:t>
      </w:r>
    </w:p>
    <w:p>
      <w:r>
        <w:rPr>
          <w:b/>
        </w:rPr>
        <w:t>Conceitos</w:t>
      </w:r>
    </w:p>
    <w:p>
      <w:pPr>
        <w:pStyle w:val="ListBullet"/>
      </w:pPr>
      <w:r>
        <w:rPr>
          <w:b/>
        </w:rPr>
        <w:t xml:space="preserve">Tese de partida: </w:t>
      </w:r>
      <w:r>
        <w:t>Hipótese interpretativa que orienta o estudo, a confrontar com os dados.</w:t>
      </w:r>
    </w:p>
    <w:p>
      <w:pPr>
        <w:pStyle w:val="ListBullet"/>
      </w:pPr>
      <w:r>
        <w:rPr>
          <w:b/>
        </w:rPr>
        <w:t xml:space="preserve">Três formulações: </w:t>
      </w:r>
      <w:r>
        <w:t>Habitar o digital (3.6), rugosidade tecnológica (cap. 6) e vazio material (cap. 5).</w:t>
      </w:r>
    </w:p>
    <w:p>
      <w:r>
        <w:rPr>
          <w:b/>
        </w:rPr>
        <w:t xml:space="preserve">Autores e obras: </w:t>
      </w:r>
      <w:r>
        <w:t>Bowe, Ball e Gold (1992, p. 21); Mainardes (2006); Ball, Maguire e Braun (2016).</w:t>
      </w:r>
    </w:p>
    <w:p>
      <w:r>
        <w:rPr>
          <w:b/>
        </w:rPr>
        <w:t xml:space="preserve">Onde aprofundar: </w:t>
      </w:r>
      <w:r>
        <w:t>Cap. 1, seção 1.5; Cap. 4, seção 4.3.1.</w:t>
      </w:r>
    </w:p>
    <w:p>
      <w:r>
        <w:rPr>
          <w:b/>
        </w:rPr>
        <w:t>Perguntas de estudo</w:t>
      </w:r>
    </w:p>
    <w:p>
      <w:pPr>
        <w:pStyle w:val="ListBullet"/>
      </w:pPr>
      <w:r>
        <w:rPr>
          <w:i/>
        </w:rPr>
        <w:t>A tese pode ser refutada pelos dados? (sim: as formulações podem ser revistas ou abandonadas).</w:t>
      </w:r>
    </w:p>
    <w:p>
      <w:pPr>
        <w:pStyle w:val="Heading2"/>
      </w:pPr>
      <w:r>
        <w:t>Slide 28 · A questão aberta</w:t>
      </w:r>
    </w:p>
    <w:p>
      <w:r>
        <w:rPr>
          <w:color w:val="555555"/>
          <w:sz w:val="20"/>
        </w:rPr>
        <w:t>35 s  ·  ao final: 23:40</w:t>
      </w:r>
    </w:p>
    <w:p>
      <w:r>
        <w:rPr>
          <w:i/>
          <w:color w:val="555555"/>
        </w:rPr>
        <w:t>[Pausa antes de ler as duas perguntas do cartão amarelo, em tom mais lento.]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EF0FB"/>
          </w:tcPr>
          <w:p>
            <w:pPr>
              <w:spacing w:line="300" w:lineRule="auto"/>
              <w:jc w:val="both"/>
            </w:pPr>
            <w:r/>
            <w:r>
              <w:rPr>
                <w:sz w:val="24"/>
              </w:rPr>
              <w:t>Chego à questão que atravessa toda a pesquisa. A política fez da educação digital um direito e deixou os meios na dependência de cada ente federado. A pergunta de fundo, que só as narrativas dos profissionais podem responder, é esta: quando a política não faz chegar o equipamento nem a formação, quem paga, no cotidiano escolar, por esse vazio material e formativo? E o que isso significa para os direitos que a lei prometeu às crianças?</w:t>
            </w:r>
          </w:p>
        </w:tc>
      </w:tr>
    </w:tbl>
    <w:p>
      <w:pPr>
        <w:spacing w:after="0"/>
      </w:pPr>
    </w:p>
    <w:p>
      <w:pPr>
        <w:pStyle w:val="Heading3"/>
      </w:pPr>
      <w:r>
        <w:t>Estudo dirigido</w:t>
      </w:r>
    </w:p>
    <w:p>
      <w:r>
        <w:rPr>
          <w:b/>
        </w:rPr>
        <w:t>Mapa conceitual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24942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2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49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Ideia central: </w:t>
      </w:r>
      <w:r>
        <w:t>Quem paga, no cotidiano escolar, pelo vazio material e formativo?</w:t>
      </w:r>
    </w:p>
    <w:p>
      <w:r>
        <w:rPr>
          <w:b/>
        </w:rPr>
        <w:t>Conceitos</w:t>
      </w:r>
    </w:p>
    <w:p>
      <w:pPr>
        <w:pStyle w:val="ListBullet"/>
      </w:pPr>
      <w:r>
        <w:rPr>
          <w:b/>
        </w:rPr>
        <w:t xml:space="preserve">Vazio formativo: </w:t>
      </w:r>
      <w:r>
        <w:t>Expressão usada na apresentação para nomear a formação tratada pela lei como "ação de promoção" (art. 3º, § 1º, IX e X). Ainda não está definida nos capítulos.</w:t>
      </w:r>
    </w:p>
    <w:p>
      <w:r>
        <w:rPr>
          <w:b/>
        </w:rPr>
        <w:t xml:space="preserve">Autores e obras: </w:t>
      </w:r>
      <w:r>
        <w:t>BRASIL (2023, art. 3º, § 1º); Nunes (2024) e Tussi (2023), sobre formação, na RSL.</w:t>
      </w:r>
    </w:p>
    <w:p>
      <w:r>
        <w:rPr>
          <w:b/>
        </w:rPr>
        <w:t xml:space="preserve">Onde aprofundar: </w:t>
      </w:r>
      <w:r>
        <w:t>Cap. 5, seções 5.5.1 e 5.6; Cap. 2, seção 2.5.2 (o que os profissionais fazem quando a formação não chega).</w:t>
      </w:r>
    </w:p>
    <w:p>
      <w:r>
        <w:rPr>
          <w:b/>
        </w:rPr>
        <w:t>Perguntas de estudo</w:t>
      </w:r>
    </w:p>
    <w:p>
      <w:pPr>
        <w:pStyle w:val="ListBullet"/>
      </w:pPr>
      <w:r>
        <w:rPr>
          <w:i/>
        </w:rPr>
        <w:t>O que é o "vazio formativo"? (convém definir no cap. 5, ao lado do vazio material).</w:t>
      </w:r>
    </w:p>
    <w:p>
      <w:r>
        <w:rPr>
          <w:b/>
          <w:color w:val="B03A2E"/>
        </w:rPr>
        <w:t xml:space="preserve">Cuidado: </w:t>
      </w:r>
      <w:r>
        <w:t>A definir: "vazio formativo" ainda não está definido nos capítulos.</w:t>
      </w:r>
    </w:p>
    <w:p>
      <w:pPr>
        <w:pStyle w:val="Heading2"/>
      </w:pPr>
      <w:r>
        <w:t>Slide 29 · O que foi feito e o que falta fazer</w:t>
      </w:r>
    </w:p>
    <w:p>
      <w:r>
        <w:rPr>
          <w:color w:val="555555"/>
          <w:sz w:val="20"/>
        </w:rPr>
        <w:t>70 s  ·  ao final: 24:50</w:t>
      </w:r>
    </w:p>
    <w:p>
      <w:r>
        <w:rPr>
          <w:i/>
          <w:color w:val="555555"/>
        </w:rPr>
        <w:t>[Ler o cartão da esquerda e depois o da direita; não ler os números do CEP em voz alta.]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EF0FB"/>
          </w:tcPr>
          <w:p>
            <w:pPr>
              <w:spacing w:line="300" w:lineRule="auto"/>
              <w:jc w:val="both"/>
            </w:pPr>
            <w:r/>
            <w:r>
              <w:rPr>
                <w:sz w:val="24"/>
              </w:rPr>
              <w:t>Para encerrar, o que foi feito e o que falta fazer. Integralizei 315 das 330 horas de componentes curriculares e a proficiência em espanhol. O projeto foi aprovado no Comitê de Ética; o texto de qualificação reúne a revisão, os fundamentos, a metodologia, a agenda e a PNED e o território de Pipa e da escola; o registro iconográfico está feito, e os documentos já foram solicitados à direção e à Secretaria. Apresentei a pesquisa no ConWiTE, no ConBAlf e no Colóquio de Políticas Educacionais. Falta submeter a emenda ao Comitê de Ética, com a Secretaria como coparticipante e o projeto atualizado à PNED; realizar o campo em dez semanas, começando pelo técnico da Secretaria; transcrever, analisar e fazer a devolutiva; e escrever o capítulo 7, revisando os capítulos com as contribuições desta banca. Restam ainda dois seminários, a proficiência em inglês, os artigos, o depósito e a defesa.</w:t>
            </w:r>
          </w:p>
        </w:tc>
      </w:tr>
    </w:tbl>
    <w:p>
      <w:pPr>
        <w:spacing w:after="0"/>
      </w:pPr>
    </w:p>
    <w:p>
      <w:pPr>
        <w:pStyle w:val="Heading3"/>
      </w:pPr>
      <w:r>
        <w:t>Estudo dirigido</w:t>
      </w:r>
    </w:p>
    <w:p>
      <w:r>
        <w:rPr>
          <w:b/>
        </w:rPr>
        <w:t>Mapa conceitual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57782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2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77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Ideia central: </w:t>
      </w:r>
      <w:r>
        <w:t>Balanço do percurso, pedido pela orientadora: o que já foi cumprido e o que falta até a defesa.</w:t>
      </w:r>
    </w:p>
    <w:p>
      <w:r>
        <w:rPr>
          <w:b/>
        </w:rPr>
        <w:t>Conceitos</w:t>
      </w:r>
    </w:p>
    <w:p>
      <w:pPr>
        <w:pStyle w:val="ListBullet"/>
      </w:pPr>
      <w:r>
        <w:rPr>
          <w:b/>
        </w:rPr>
        <w:t xml:space="preserve">Feito: </w:t>
      </w:r>
      <w:r>
        <w:t>Componentes curriculares: 315 h de 330 h integralizadas (histórico de 25/08/2026); proficiência em espanhol; aprovação no CEP (Parecer nº 8.038.332; CAAE 91393625.4.0000.5292); texto de qualificação; registro iconográfico; documentos solicitados à direção e à SME; produção em eventos (ConWiTE 2024 e 2026, ConBAlf 2025, V Colóquio de Políticas Educacionais 2025).</w:t>
      </w:r>
    </w:p>
    <w:p>
      <w:pPr>
        <w:pStyle w:val="ListBullet"/>
      </w:pPr>
      <w:r>
        <w:rPr>
          <w:b/>
        </w:rPr>
        <w:t xml:space="preserve">Falta fazer: </w:t>
      </w:r>
      <w:r>
        <w:t>Emenda ao CEP (SME coparticipante e projeto atualizado à PNED); campo em dez semanas; transcrição, análise temática reflexiva e devolutiva; capítulo 7, revisão e considerações finais; Seminário de Formação Doutoral II e Seminário de Pesquisa IV (matriculados); proficiência em inglês; artigos; depósito e defesa.</w:t>
      </w:r>
    </w:p>
    <w:p>
      <w:pPr>
        <w:pStyle w:val="ListBullet"/>
      </w:pPr>
      <w:r>
        <w:rPr>
          <w:b/>
        </w:rPr>
        <w:t xml:space="preserve">Por que a emenda: </w:t>
      </w:r>
      <w:r>
        <w:t>O projeto aprovado no CEP tem o título anterior, sobre a Política de Inovação Educação Conectada (PIEC); a emenda alinha o protocolo ao objeto atual e inclui a SME como coparticipante.</w:t>
      </w:r>
    </w:p>
    <w:p>
      <w:r>
        <w:rPr>
          <w:b/>
        </w:rPr>
        <w:t xml:space="preserve">Autores e obras: </w:t>
      </w:r>
      <w:r>
        <w:t>Relatório de atividades da licença para estudos (23/09/2026); Histórico escolar SIGAA (25/08/2026); Parecer consubstanciado do CEP nº 8.038.332.</w:t>
      </w:r>
    </w:p>
    <w:p>
      <w:r>
        <w:rPr>
          <w:b/>
        </w:rPr>
        <w:t xml:space="preserve">Onde aprofundar: </w:t>
      </w:r>
      <w:r>
        <w:t>Cap. 4, seções 4.4 e 4.5.4 (cronograma).</w:t>
      </w:r>
    </w:p>
    <w:p>
      <w:r>
        <w:rPr>
          <w:b/>
        </w:rPr>
        <w:t>Perguntas de estudo</w:t>
      </w:r>
    </w:p>
    <w:p>
      <w:pPr>
        <w:pStyle w:val="ListBullet"/>
      </w:pPr>
      <w:r>
        <w:rPr>
          <w:i/>
        </w:rPr>
        <w:t>Por que o campo ainda não começou? (depende da emenda ao CEP, com a SME coparticipante).</w:t>
      </w:r>
    </w:p>
    <w:p>
      <w:pPr>
        <w:pStyle w:val="ListBullet"/>
      </w:pPr>
      <w:r>
        <w:rPr>
          <w:i/>
        </w:rPr>
        <w:t>Qual é o prazo? (o histórico registra prazo padrão de conclusão em fev. 2027; confirmar o cronograma com a orientadora).</w:t>
      </w:r>
    </w:p>
    <w:p>
      <w:r>
        <w:rPr>
          <w:b/>
          <w:color w:val="B03A2E"/>
        </w:rPr>
        <w:t xml:space="preserve">Cuidado: </w:t>
      </w:r>
      <w:r>
        <w:t>A conferir: o relatório de 23/09/2026 lista apenas os capítulos 1, 5 e 6 em primeira versão; o slide diz que o texto de qualificação reúne também RSL, fundamentos e metodologia. Ajustar se não for o caso.</w:t>
      </w:r>
    </w:p>
    <w:p>
      <w:pPr>
        <w:pStyle w:val="Heading2"/>
      </w:pPr>
      <w:r>
        <w:t>Slide 30 · Agradecimento</w:t>
      </w:r>
    </w:p>
    <w:p>
      <w:r>
        <w:rPr>
          <w:color w:val="555555"/>
          <w:sz w:val="20"/>
        </w:rPr>
        <w:t>10 s  ·  ao final: 25:00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EF0FB"/>
          </w:tcPr>
          <w:p>
            <w:pPr>
              <w:spacing w:line="300" w:lineRule="auto"/>
              <w:jc w:val="both"/>
            </w:pPr>
            <w:r/>
            <w:r>
              <w:rPr>
                <w:sz w:val="24"/>
              </w:rPr>
              <w:t>Agradeço a atenção e fico à disposição para ouvir as considerações da banca, que vão ajudar a tornar esta pesquisa mais consistente.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REFERÊNCIAS</w:t>
      </w:r>
    </w:p>
    <w:p>
      <w:pPr>
        <w:pStyle w:val="Heading2"/>
      </w:pPr>
      <w:r>
        <w:t>Slide 31 · Referências (1/2)</w:t>
      </w:r>
    </w:p>
    <w:p>
      <w:r>
        <w:rPr>
          <w:color w:val="555555"/>
          <w:sz w:val="20"/>
        </w:rPr>
        <w:t>sem fala</w:t>
      </w:r>
    </w:p>
    <w:p>
      <w:r>
        <w:rPr>
          <w:i/>
          <w:color w:val="555555"/>
        </w:rPr>
        <w:t>[Sem fala. Deixar à disposição da banca durante a arguição.]</w:t>
      </w:r>
    </w:p>
    <w:p>
      <w:pPr>
        <w:pStyle w:val="Heading3"/>
      </w:pPr>
      <w:r>
        <w:t>Estudo dirigido</w:t>
      </w:r>
    </w:p>
    <w:p>
      <w:r>
        <w:rPr>
          <w:b/>
        </w:rPr>
        <w:t xml:space="preserve">Ideia central: </w:t>
      </w:r>
      <w:r>
        <w:t>Lista ABNT das obras citadas na apresentação.</w:t>
      </w:r>
    </w:p>
    <w:p>
      <w:r>
        <w:rPr>
          <w:b/>
        </w:rPr>
        <w:t xml:space="preserve">Onde aprofundar: </w:t>
      </w:r>
      <w:r>
        <w:t>Listas de referências de cada capítulo.</w:t>
      </w:r>
    </w:p>
    <w:p>
      <w:pPr>
        <w:pStyle w:val="Heading2"/>
      </w:pPr>
      <w:r>
        <w:t>Slide 32 · Referências (2/2)</w:t>
      </w:r>
    </w:p>
    <w:p>
      <w:r>
        <w:rPr>
          <w:color w:val="555555"/>
          <w:sz w:val="20"/>
        </w:rPr>
        <w:t>sem fala</w:t>
      </w:r>
    </w:p>
    <w:p>
      <w:r>
        <w:rPr>
          <w:i/>
          <w:color w:val="555555"/>
        </w:rPr>
        <w:t>[Sem fala.]</w:t>
      </w:r>
    </w:p>
    <w:p>
      <w:r>
        <w:br w:type="page"/>
      </w:r>
    </w:p>
    <w:p>
      <w:pPr>
        <w:pStyle w:val="Heading1"/>
      </w:pPr>
      <w:r>
        <w:t>Se o tempo apertar</w:t>
      </w:r>
    </w:p>
    <w:p>
      <w:pPr>
        <w:pStyle w:val="ListBullet"/>
      </w:pPr>
      <w:r>
        <w:rPr>
          <w:b/>
        </w:rPr>
        <w:t xml:space="preserve">Slide 20 (mapa): </w:t>
      </w:r>
      <w:r>
        <w:t>dizer só a primeira e a terceira frases e apontar o mapa, sem citar os países. Ganho de cerca de 40 s.</w:t>
      </w:r>
    </w:p>
    <w:p>
      <w:pPr>
        <w:pStyle w:val="ListBullet"/>
      </w:pPr>
      <w:r>
        <w:rPr>
          <w:b/>
        </w:rPr>
        <w:t xml:space="preserve">Slide 13 (contexto da prática): </w:t>
      </w:r>
      <w:r>
        <w:t>dizer apenas a primeira frase de cada noção. Ganho de cerca de 30 s.</w:t>
      </w:r>
    </w:p>
    <w:p>
      <w:pPr>
        <w:pStyle w:val="ListBullet"/>
      </w:pPr>
      <w:r>
        <w:rPr>
          <w:b/>
        </w:rPr>
        <w:t xml:space="preserve">Slide 21 (comparação): </w:t>
      </w:r>
      <w:r>
        <w:t>nomear as cinco categorias e ler apenas a pergunta final. Ganho de cerca de 30 s.</w:t>
      </w:r>
    </w:p>
    <w:p>
      <w:pPr>
        <w:pStyle w:val="ListBullet"/>
      </w:pPr>
      <w:r>
        <w:rPr>
          <w:b/>
        </w:rPr>
        <w:t xml:space="preserve">Slide 24 (Tibau do Sul): </w:t>
      </w:r>
      <w:r>
        <w:t>dizer só as localidades e a pergunta final. Ganho de cerca de 20 s.</w:t>
      </w:r>
    </w:p>
    <w:p>
      <w:pPr>
        <w:pStyle w:val="ListBullet"/>
      </w:pPr>
      <w:r>
        <w:rPr>
          <w:b/>
        </w:rPr>
        <w:t xml:space="preserve">Slide 22 (vazio material): </w:t>
      </w:r>
      <w:r>
        <w:t>omitir a frase sobre a definição da lei e começar em "Há o que é inegociável". Ganho de cerca de 15 s.</w:t>
      </w:r>
    </w:p>
    <w:p>
      <w:pPr>
        <w:pStyle w:val="Heading1"/>
      </w:pPr>
      <w:r>
        <w:t>Pontos que a banca pode perguntar</w:t>
      </w:r>
    </w:p>
    <w:p>
      <w:pPr>
        <w:pStyle w:val="ListBullet"/>
      </w:pPr>
      <w:r>
        <w:rPr>
          <w:b/>
        </w:rPr>
        <w:t xml:space="preserve">Proximidade com a rede: </w:t>
      </w:r>
      <w:r>
        <w:t>a pesquisadora trabalha na rede municipal e entrevistará um técnico da mesma administração; os cuidados são o confronto entre fontes, a devolutiva individual e o diário de campo, com a reflexividade pedida por Braun e Clarke.</w:t>
      </w:r>
    </w:p>
    <w:p>
      <w:pPr>
        <w:pStyle w:val="ListBullet"/>
      </w:pPr>
      <w:r>
        <w:rPr>
          <w:b/>
        </w:rPr>
        <w:t xml:space="preserve">Por que só uma escola: </w:t>
      </w:r>
      <w:r>
        <w:t>Pipa é o foco e o caso; a rede entra pelos documentos, pelos dados do Censo Escolar e pelo técnico da Secretaria; as outras escolas não são ouvidas, limite declarado no capítulo 4.</w:t>
      </w:r>
    </w:p>
    <w:p>
      <w:pPr>
        <w:pStyle w:val="ListBullet"/>
      </w:pPr>
      <w:r>
        <w:rPr>
          <w:b/>
        </w:rPr>
        <w:t xml:space="preserve">Por que só o técnico na SME: </w:t>
      </w:r>
      <w:r>
        <w:t>é quem acompanha os programas e as orientações às escolas e informou a existência do plano da rede; a escolha foi feita com a orientadora.</w:t>
      </w:r>
    </w:p>
    <w:p>
      <w:pPr>
        <w:pStyle w:val="ListBullet"/>
      </w:pPr>
      <w:r>
        <w:rPr>
          <w:b/>
        </w:rPr>
        <w:t xml:space="preserve">Ausência de observação de aula: </w:t>
      </w:r>
      <w:r>
        <w:t>delimitação assumida, a mesma de Ball, Maguire e Braun (2016, p. 49); o que for narrado não será tratado como observado.</w:t>
      </w:r>
    </w:p>
    <w:p>
      <w:pPr>
        <w:pStyle w:val="ListBullet"/>
      </w:pPr>
      <w:r>
        <w:rPr>
          <w:b/>
        </w:rPr>
        <w:t xml:space="preserve">Por que não ouvir as crianças: </w:t>
      </w:r>
      <w:r>
        <w:t>o objeto é a encenação pelos profissionais; o que se disser sobre as crianças virá das condições documentadas e das compreensões dos profissionais.</w:t>
      </w:r>
    </w:p>
    <w:p>
      <w:pPr>
        <w:pStyle w:val="ListBullet"/>
      </w:pPr>
      <w:r>
        <w:rPr>
          <w:b/>
        </w:rPr>
        <w:t xml:space="preserve">Por que essas cinco categorias: </w:t>
      </w:r>
      <w:r>
        <w:t>saem das recorrências da comparação entre Europa e Américas (Quadro 12) e funcionam como lentes sensibilizadoras, abertas ao que o campo trouxer.</w:t>
      </w:r>
    </w:p>
    <w:p>
      <w:pPr>
        <w:pStyle w:val="ListBullet"/>
      </w:pPr>
      <w:r>
        <w:rPr>
          <w:b/>
        </w:rPr>
        <w:t xml:space="preserve">Vazio material: </w:t>
      </w:r>
      <w:r>
        <w:t>é proposição a verificar; falta reunir receita e gasto em educação de Tibau do Sul para separar o desenho da lei da capacidade fiscal do município.</w:t>
      </w:r>
    </w:p>
    <w:p>
      <w:pPr>
        <w:pStyle w:val="ListBullet"/>
      </w:pPr>
      <w:r>
        <w:rPr>
          <w:b/>
        </w:rPr>
        <w:t xml:space="preserve">Computadores de 2022: </w:t>
      </w:r>
      <w:r>
        <w:t>informação preliminar, a confirmar no documento de aquisição e nos cadernos de uso do laboratório.</w:t>
      </w:r>
    </w:p>
    <w:p>
      <w:pPr>
        <w:pStyle w:val="ListBullet"/>
      </w:pPr>
      <w:r>
        <w:rPr>
          <w:b/>
        </w:rPr>
        <w:t xml:space="preserve">O que a lei torna obrigatório: </w:t>
      </w:r>
      <w:r>
        <w:t>o componente curricular no ensino fundamental (veto derrubado em 14/12/2023), a educação digital como dever do Estado com conectividade das escolas públicas (LDB, art. 4º, XII) e a implementação dos currículos a partir de 2026 (Res. CNE/CEB nº 2/2025, art. 36). Formação, infraestrutura e recursos ficam como promoção, limites orçamentários e ausência de transferência obrigatória.</w:t>
      </w:r>
    </w:p>
    <w:p>
      <w:pPr>
        <w:pStyle w:val="ListBullet"/>
      </w:pPr>
      <w:r>
        <w:rPr>
          <w:b/>
        </w:rPr>
        <w:t xml:space="preserve">Por que Pipa, se a Secretaria atende o município inteiro: </w:t>
      </w:r>
      <w:r>
        <w:t>Pipa é o foco e o caso; o território municipal e os documentos da SME são o caminho em funil que mostra o que a rede prevê para as diferentes localidades e o que chega a Pipa. As demais escolas não são ouvidas, limite declarado no capítulo 4.</w:t>
      </w:r>
    </w:p>
    <w:p>
      <w:pPr>
        <w:pStyle w:val="Heading1"/>
      </w:pPr>
      <w:r>
        <w:t>Pendências de verificação</w:t>
      </w:r>
    </w:p>
    <w:p>
      <w:pPr>
        <w:pStyle w:val="ListBullet"/>
      </w:pPr>
      <w:r>
        <w:t>Di Felice (2009, p. 20): citação indireta, a conferir no livro impresso.</w:t>
      </w:r>
    </w:p>
    <w:p>
      <w:pPr>
        <w:pStyle w:val="ListBullet"/>
      </w:pPr>
      <w:r>
        <w:t>Foucault (1999, p. 29): conferir a página na edição impressa usada.</w:t>
      </w:r>
    </w:p>
    <w:p>
      <w:pPr>
        <w:pStyle w:val="ListBullet"/>
      </w:pPr>
      <w:r>
        <w:t>Posição da pesquisadora na rede: o projeto diz "trabalha há dezoito anos na rede municipal"; a Introdução diz "atua como profissional técnica de políticas públicas".</w:t>
      </w:r>
    </w:p>
    <w:p>
      <w:pPr>
        <w:pStyle w:val="ListBullet"/>
      </w:pPr>
      <w:r>
        <w:t>Dados de receita e gasto em educação de Tibau do Sul (Siconfi/Finbra): ainda não reunidos (cap. 5).</w:t>
      </w:r>
    </w:p>
    <w:p>
      <w:pPr>
        <w:pStyle w:val="ListBullet"/>
      </w:pPr>
      <w:r>
        <w:t>"Vazio formativo" (slide 28): expressão nova, ainda não definida nos capítulos.</w:t>
      </w:r>
    </w:p>
    <w:p>
      <w:pPr>
        <w:pStyle w:val="ListBullet"/>
      </w:pPr>
      <w:r>
        <w:t>Hall (2006): a Introdução cita a p. 50-51 e a versão anterior, a p. 50; conferir no livro antes de usar.</w:t>
      </w:r>
    </w:p>
    <w:p>
      <w:pPr>
        <w:pStyle w:val="ListBullet"/>
      </w:pPr>
      <w:r>
        <w:t>Tibau do Sul: proporção rural de 2010 (cerca de 40%) a conferir no Censo.</w:t>
      </w:r>
    </w:p>
    <w:p>
      <w:pPr>
        <w:pStyle w:val="ListBullet"/>
      </w:pPr>
      <w:r>
        <w:t>Computadores da escola comprados em 2022: confirmar no documento de aquisição.</w:t>
      </w:r>
    </w:p>
    <w:p>
      <w:pPr>
        <w:pStyle w:val="ListBullet"/>
      </w:pPr>
      <w:r>
        <w:t>Fotografias do Museu Digital de Pipa: confirmar autorização ou licença de uso.</w:t>
      </w:r>
    </w:p>
    <w:sectPr w:rsidR="00FC693F" w:rsidRPr="0006063C" w:rsidSect="00034616">
      <w:pgSz w:w="12240" w:h="15840"/>
      <w:pgMar w:top="1304" w:right="1304" w:bottom="130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349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349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349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