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w:t>
      </w:r>
      <w:r>
        <w:rPr>
          <w:rFonts w:ascii="Times New Roman" w:hAnsi="Times New Roman"/>
          <w:sz w:val="24"/>
          <w:highlight w:val="yellow"/>
        </w:rPr>
        <w:t>os profissionais da educação encenam, isto é, interpretam e traduzem, a PNED</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r>
        <w:rPr>
          <w:rFonts w:ascii="Times New Roman" w:hAnsi="Times New Roman"/>
          <w:sz w:val="24"/>
        </w:rPr>
        <w:t xml:space="preserve">? Este capítulo apresenta o caminho escolhido para respondê-la. Ele cumpre, na arquitetura da tese, uma função dupla. Organiza a produção e a análise dos dados relativos aos três objetivos específicos e fixa, antes do campo, </w:t>
      </w:r>
      <w:r>
        <w:rPr>
          <w:rFonts w:ascii="Times New Roman" w:hAnsi="Times New Roman"/>
          <w:sz w:val="24"/>
          <w:highlight w:val="yellow"/>
        </w:rPr>
        <w:t xml:space="preserve">as dimensões e </w:t>
      </w:r>
      <w:r>
        <w:rPr>
          <w:rFonts w:ascii="Times New Roman" w:hAnsi="Times New Roman"/>
          <w:sz w:val="24"/>
        </w:rPr>
        <w:t xml:space="preserve">os critérios pelos quais a </w:t>
      </w:r>
      <w:r>
        <w:rPr>
          <w:rFonts w:ascii="Times New Roman" w:hAnsi="Times New Roman"/>
          <w:sz w:val="24"/>
          <w:highlight w:val="yellow"/>
        </w:rPr>
        <w:t>hipótese da tese, a de que o território e as culturas profissionais operam como espaços de ressignificação ou de resistência, será sustentada, delimitada</w:t>
      </w:r>
      <w:r>
        <w:rPr>
          <w:rFonts w:ascii="Times New Roman" w:hAnsi="Times New Roman"/>
          <w:sz w:val="24"/>
        </w:rPr>
        <w:t xml:space="preserve"> ou recusada. Sem esses critérios, a </w:t>
      </w:r>
      <w:r>
        <w:rPr>
          <w:rFonts w:ascii="Times New Roman" w:hAnsi="Times New Roman"/>
          <w:sz w:val="24"/>
          <w:highlight w:val="yellow"/>
        </w:rPr>
        <w:t>hipótese</w:t>
      </w:r>
      <w:r>
        <w:rPr>
          <w:rFonts w:ascii="Times New Roman" w:hAnsi="Times New Roman"/>
          <w:sz w:val="24"/>
        </w:rPr>
        <w:t xml:space="preserv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highlight w:val="yellow"/>
        </w:rPr>
        <w:t>proteção dos dados de crianças e adolescentes</w:t>
      </w:r>
      <w:r>
        <w:rPr>
          <w:rFonts w:ascii="Times New Roman" w:hAnsi="Times New Roman"/>
          <w:sz w:val="24"/>
        </w:rPr>
        <w:t xml:space="preserve"> (BRASIL, 2023, art. 3º, III e IV). Na Escola Municipal Domitila Castelo, são cento e quarenta crianças nas turmas de 1º e 2º anos, em plena alfabetização.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w:t>
      </w:r>
      <w:r>
        <w:rPr>
          <w:rFonts w:ascii="Times New Roman" w:hAnsi="Times New Roman"/>
          <w:sz w:val="24"/>
          <w:highlight w:val="yellow"/>
        </w:rPr>
        <w:t>onze</w:t>
      </w:r>
      <w:r>
        <w:rPr>
          <w:rFonts w:ascii="Times New Roman" w:hAnsi="Times New Roman"/>
          <w:sz w:val="24"/>
        </w:rPr>
        <w:t xml:space="preserve"> profissionais da educação: seis </w:t>
      </w:r>
      <w:r>
        <w:rPr>
          <w:rFonts w:ascii="Times New Roman" w:hAnsi="Times New Roman"/>
          <w:sz w:val="24"/>
          <w:highlight w:val="yellow"/>
        </w:rPr>
        <w:t>que atuam nas turmas de 1º e 2º anos</w:t>
      </w:r>
      <w:r>
        <w:rPr>
          <w:rFonts w:ascii="Times New Roman" w:hAnsi="Times New Roman"/>
          <w:sz w:val="24"/>
        </w:rPr>
        <w:t>, quatro da coordenação pedagógica</w:t>
      </w:r>
      <w:r>
        <w:rPr>
          <w:rFonts w:ascii="Times New Roman" w:hAnsi="Times New Roman"/>
          <w:sz w:val="24"/>
          <w:highlight w:val="yellow"/>
        </w:rPr>
        <w:t xml:space="preserve"> e um da direção</w:t>
      </w:r>
      <w:r>
        <w:rPr>
          <w:rFonts w:ascii="Times New Roman" w:hAnsi="Times New Roman"/>
          <w:sz w:val="24"/>
        </w:rPr>
        <w:t xml:space="preserve">. Os dados provêm da análise documental, de um questionário, de entrevistas semiestruturadas e do registro iconográfico, lidos com a Abordagem do Ciclo de Políticas (ACP), formulada por Bowe, Ball e Gold (1992) e sistematizada no Brasil por Mainardes (2006), e com a teoria da </w:t>
      </w:r>
      <w:r>
        <w:rPr>
          <w:rFonts w:ascii="Times New Roman" w:hAnsi="Times New Roman"/>
          <w:sz w:val="24"/>
          <w:highlight w:val="yellow"/>
        </w:rPr>
        <w:t>atuação de Ball, Maguire e Braun (2016</w:t>
      </w:r>
      <w:r>
        <w:rPr>
          <w:rFonts w:ascii="Times New Roman" w:hAnsi="Times New Roman"/>
          <w:sz w:val="24"/>
        </w:rPr>
        <w:t xml:space="preserve">). Dois pontos recebem atenção especial ao longo do capítulo: a posição da pesquisadora, que residiu em Pipa e trabalhou na rede municipal, e os critérios de exame da </w:t>
      </w:r>
      <w:r>
        <w:rPr>
          <w:rFonts w:ascii="Times New Roman" w:hAnsi="Times New Roman"/>
          <w:sz w:val="24"/>
          <w:highlight w:val="yellow"/>
        </w:rPr>
        <w:t>hipótese</w:t>
      </w:r>
      <w:r>
        <w:rPr>
          <w:rFonts w:ascii="Times New Roman" w:hAnsi="Times New Roman"/>
          <w:sz w:val="24"/>
        </w:rPr>
        <w:t>. Os resultados ficam para os capítulos de análise.</w:t>
      </w:r>
    </w:p>
    <w:p>
      <w:pPr>
        <w:spacing w:line="360" w:lineRule="auto"/>
        <w:ind w:firstLine="709"/>
        <w:jc w:val="both"/>
      </w:pPr>
      <w:r>
        <w:rPr>
          <w:rFonts w:ascii="Times New Roman" w:hAnsi="Times New Roman"/>
          <w:sz w:val="24"/>
          <w:highlight w:val="yellow"/>
        </w:rPr>
        <w:t>O Quadro 9 mostra a correspondência entre cada objetivo específico, os contextos da ACP, as dimensões do contexto, as fontes e os capítulos. Os três objetivos tratam do contexto da prática e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e com que meios e identifica no texto os elementos que podem gerar lógicas de performatividade, base para os objetivos (a) e (c).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highlight w:val="yellow"/>
              </w:rPr>
              <w:t>(a) Investigar como os diferentes profissionais da educação decodificam os textos da PNED e os discursos sobre cultura digital a partir de suas culturas profissionais</w:t>
            </w:r>
          </w:p>
        </w:tc>
        <w:tc>
          <w:tcPr>
            <w:tcW w:type="dxa" w:w="2351"/>
          </w:tcPr>
          <w:p>
            <w:r/>
            <w:r>
              <w:rPr>
                <w:rFonts w:ascii="Times New Roman" w:hAnsi="Times New Roman"/>
                <w:sz w:val="20"/>
                <w:highlight w:val="yellow"/>
              </w:rPr>
              <w:t>Contexto da prática (dimensão das culturas profissionais), com base nos contextos de influência e de produção do texto. Análise documental (Lei nº 14.533/2023, veto e sua apreciação, PPP); questionário (Blocos 1, 2 e 5); entrevistas (Eixos 1 e 2)</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Os sentidos atribuídos à política e à educação digital em cada posição institucional, lidos em relação ao que o texto efetivamente pede</w:t>
            </w:r>
          </w:p>
        </w:tc>
      </w:tr>
      <w:tr>
        <w:tc>
          <w:tcPr>
            <w:tcW w:type="dxa" w:w="2351"/>
          </w:tcPr>
          <w:p>
            <w:r/>
            <w:r>
              <w:rPr>
                <w:rFonts w:ascii="Times New Roman" w:hAnsi="Times New Roman"/>
                <w:sz w:val="20"/>
                <w:highlight w:val="yellow"/>
              </w:rPr>
              <w:t>(b) Mapear as táticas institucionais e pedagógicas mobilizadas para traduzir a PNED em ações cotidianas, considerando a dimensão material da escola e o território</w:t>
            </w:r>
          </w:p>
        </w:tc>
        <w:tc>
          <w:tcPr>
            <w:tcW w:type="dxa" w:w="2351"/>
          </w:tcPr>
          <w:p>
            <w:r/>
            <w:r>
              <w:rPr>
                <w:rFonts w:ascii="Times New Roman" w:hAnsi="Times New Roman"/>
                <w:sz w:val="20"/>
                <w:highlight w:val="yellow"/>
              </w:rPr>
              <w:t>Contexto da prática (dimensões situacional e material). Registro iconográfico e acervo do Museu Digital de Pipa; documentos administrativos e de aquisição (análise a realizar); questionário (Bloco 3); entrevistas (Eixo 3)</w:t>
            </w:r>
          </w:p>
        </w:tc>
        <w:tc>
          <w:tcPr>
            <w:tcW w:type="dxa" w:w="2351"/>
          </w:tcPr>
          <w:p>
            <w:r/>
            <w:r>
              <w:rPr>
                <w:rFonts w:ascii="Times New Roman" w:hAnsi="Times New Roman"/>
                <w:sz w:val="20"/>
                <w:highlight w:val="yellow"/>
              </w:rPr>
              <w:t>6 e 7</w:t>
            </w:r>
          </w:p>
        </w:tc>
        <w:tc>
          <w:tcPr>
            <w:tcW w:type="dxa" w:w="2351"/>
          </w:tcPr>
          <w:p>
            <w:r/>
            <w:r>
              <w:rPr>
                <w:rFonts w:ascii="Times New Roman" w:hAnsi="Times New Roman"/>
                <w:sz w:val="20"/>
                <w:highlight w:val="yellow"/>
              </w:rPr>
              <w:t>As táticas de tradução diante do vazio material, do habitar o digital e da rugosidade tecnológica</w:t>
            </w:r>
          </w:p>
        </w:tc>
      </w:tr>
      <w:tr>
        <w:tc>
          <w:tcPr>
            <w:tcW w:type="dxa" w:w="2351"/>
          </w:tcPr>
          <w:p>
            <w:r/>
            <w:r>
              <w:rPr>
                <w:rFonts w:ascii="Times New Roman" w:hAnsi="Times New Roman"/>
                <w:sz w:val="20"/>
                <w:highlight w:val="yellow"/>
              </w:rPr>
              <w:t>(c) Identificar lógicas de performatividade derivadas das exigências da PNED e analisar as estratégias de ressignificação e de resistência</w:t>
            </w:r>
          </w:p>
        </w:tc>
        <w:tc>
          <w:tcPr>
            <w:tcW w:type="dxa" w:w="2351"/>
          </w:tcPr>
          <w:p>
            <w:r/>
            <w:r>
              <w:rPr>
                <w:rFonts w:ascii="Times New Roman" w:hAnsi="Times New Roman"/>
                <w:sz w:val="20"/>
                <w:highlight w:val="yellow"/>
              </w:rPr>
              <w:t>Contexto da prática (dimensão externa) e contexto de produção do texto. Análise documental (exigências de registro, planos, sistemas); questionário (Bloco 4); entrevistas (Eixos 4, 5 e 6)</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 mapeamento da recontextualização (acomodação, omissão seletiva, tradução para fins locais, fabricação) e o exame da hipótese, com indicação de sustentação, delimitação, renomeação ou recusa</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highlight w:val="yellow"/>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deixa de recair, individualmente, sobre cada professora. Trata-se de uma escolha política. A professora já foi responsabilizada demais pelo que falta à escola pública, e esta tese não pretende repetir esse gesto.</w:t>
      </w:r>
    </w:p>
    <w:p>
      <w:pPr>
        <w:spacing w:line="360" w:lineRule="auto"/>
        <w:ind w:firstLine="709"/>
        <w:jc w:val="both"/>
      </w:pPr>
      <w:r>
        <w:rPr>
          <w:rFonts w:ascii="Times New Roman" w:hAnsi="Times New Roman"/>
          <w:sz w:val="24"/>
          <w:highlight w:val="yellow"/>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no distrito de Pipa, convive com o território há quase duas décadas e trabalhou dezoito anos na rede municipal de Tibau do Sul. Durante o ensino remoto emergencial, esteve na Escola Municipal Domitila Castelo.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highlight w:val="yellow"/>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highlight w:val="yellow"/>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highlight w:val="yellow"/>
        </w:rPr>
        <w:t>Como antecipado na Introdução, Yin (2001) define</w:t>
      </w:r>
      <w:r>
        <w:rPr>
          <w:rFonts w:ascii="Times New Roman" w:hAnsi="Times New Roman"/>
          <w:sz w:val="24"/>
        </w:rPr>
        <w:t xml:space="preserve"> o estudo de caso </w:t>
      </w:r>
      <w:r>
        <w:rPr>
          <w:rFonts w:ascii="Times New Roman" w:hAnsi="Times New Roman"/>
          <w:sz w:val="24"/>
          <w:highlight w:val="yellow"/>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highlight w:val="yellow"/>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 xml:space="preserve">É a situação de Pipa. Infraestrutura, formação dos profissionais, cultura escolar e desigualdades do território condicionam a política e fazem parte dela ao mesmo tempo, sem possibilidade de isolar um elemento dos demais. O desenho reúne, por isso, quatro fontes de evidência, confrontadas por triangulação, e proposições teóricas formuladas antes da coleta, vindas da ACP e da teoria da </w:t>
      </w:r>
      <w:r>
        <w:rPr>
          <w:rFonts w:ascii="Times New Roman" w:hAnsi="Times New Roman"/>
          <w:sz w:val="24"/>
          <w:highlight w:val="yellow"/>
        </w:rPr>
        <w:t>atuação</w:t>
      </w:r>
      <w:r>
        <w:rPr>
          <w:rFonts w:ascii="Times New Roman" w:hAnsi="Times New Roman"/>
          <w:sz w:val="24"/>
        </w:rPr>
        <w:t>.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Por essa razão, é preciso justificar a escolha desta escola. Ela reúne três características: convive com a movimentação de um polo turístico internacional, trabalha há muito tempo com limitações de infraestrutura e responde pela alfabetização nas turmas de 1º e 2º anos. O caso tem limites claros. Consiste na chegada do eixo Educação Digital Escolar à Escola Municipal Domitila Castelo,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highlight w:val="yellow"/>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highlight w:val="yellow"/>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highlight w:val="yellow"/>
        </w:rPr>
        <w:t>Implementação</w:t>
      </w:r>
      <w:r>
        <w:rPr>
          <w:rFonts w:ascii="Times New Roman" w:hAnsi="Times New Roman"/>
          <w:sz w:val="24"/>
        </w:rPr>
        <w:t xml:space="preserve"> é a palavra usada pela PNED, </w:t>
      </w:r>
      <w:r>
        <w:rPr>
          <w:rFonts w:ascii="Times New Roman" w:hAnsi="Times New Roman"/>
          <w:sz w:val="24"/>
          <w:highlight w:val="yellow"/>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highlight w:val="yellow"/>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highlight w:val="yellow"/>
        </w:rPr>
        <w:t>no campo</w:t>
      </w:r>
      <w:r>
        <w:rPr>
          <w:rFonts w:ascii="Times New Roman" w:hAnsi="Times New Roman"/>
          <w:sz w:val="24"/>
        </w:rPr>
        <w:t>.</w:t>
      </w:r>
    </w:p>
    <w:p>
      <w:pPr>
        <w:spacing w:line="360" w:lineRule="auto"/>
        <w:ind w:firstLine="709"/>
        <w:jc w:val="both"/>
      </w:pPr>
      <w:r>
        <w:rPr>
          <w:rFonts w:ascii="Times New Roman" w:hAnsi="Times New Roman"/>
          <w:sz w:val="24"/>
          <w:highlight w:val="yellow"/>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highlight w:val="yellow"/>
        </w:rPr>
        <w:t>Como vimos na Introdução</w:t>
      </w:r>
      <w:r>
        <w:rPr>
          <w:rFonts w:ascii="Times New Roman" w:hAnsi="Times New Roman"/>
          <w:sz w:val="24"/>
        </w:rPr>
        <w:t>, Bowe, Ball e Gold (1992</w:t>
      </w:r>
      <w:r>
        <w:rPr>
          <w:rFonts w:ascii="Times New Roman" w:hAnsi="Times New Roman"/>
          <w:sz w:val="24"/>
          <w:highlight w:val="yellow"/>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highlight w:val="yellow"/>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highlight w:val="yellow"/>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highlight w:val="yellow"/>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highlight w:val="yellow"/>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highlight w:val="yellow"/>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highlight w:val="yellow"/>
        </w:rPr>
        <w:t>A teoria da atuação</w:t>
      </w:r>
      <w:r>
        <w:rPr>
          <w:rFonts w:ascii="Times New Roman" w:hAnsi="Times New Roman"/>
          <w:sz w:val="24"/>
        </w:rPr>
        <w:t xml:space="preserve"> ajuda a entender por que </w:t>
      </w:r>
      <w:r>
        <w:rPr>
          <w:rFonts w:ascii="Times New Roman" w:hAnsi="Times New Roman"/>
          <w:sz w:val="24"/>
          <w:highlight w:val="yellow"/>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highlight w:val="yellow"/>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highlight w:val="yellow"/>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highlight w:val="yellow"/>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highlight w:val="yellow"/>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highlight w:val="yellow"/>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 1</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highlight w:val="yellow"/>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highlight w:val="yellow"/>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não são um cenário neutro atravessado pela PNED. As características sociais, históricas e institucionais do lugar interferem no modo de recepção, interpretação e recontextualização da política pelos profissionais. 1 Practitioners do not confront policy texts as naïve readers, they come with histories, with experience, with values and purposes of their own, they have vested interests in the meaning of the policy. Policies will be interpreted differently as the histories, experiences, values, purposes and interests which make up any arena differ. The simple point is that policy writers cannot control the meanings of their texts. Parts of texts will be rejected, selected out, ignored, deliberately misunderstood, responses may be frivolous, etc. (BOWE; BALL; GOLD, 1992, p. 22)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highlight w:val="yellow"/>
        </w:rPr>
        <w:t xml:space="preserve">Como vimos na Introdução, Mainardes (2006) entende </w:t>
      </w:r>
      <w:r>
        <w:rPr>
          <w:rFonts w:ascii="Times New Roman" w:hAnsi="Times New Roman"/>
          <w:sz w:val="24"/>
        </w:rPr>
        <w:t xml:space="preserve">o contexto da prática </w:t>
      </w:r>
      <w:r>
        <w:rPr>
          <w:rFonts w:ascii="Times New Roman" w:hAnsi="Times New Roman"/>
          <w:sz w:val="24"/>
          <w:highlight w:val="yellow"/>
        </w:rPr>
        <w:t>como o lugar em que a política é interpretada e recriada e em que produz efeitos capazes de transformar significativamente a política original</w:t>
      </w:r>
      <w:r>
        <w:rPr>
          <w:rFonts w:ascii="Times New Roman" w:hAnsi="Times New Roman"/>
          <w:sz w:val="24"/>
        </w:rPr>
        <w:t>. No eixo Educação Digital Escolar, esse contexto reúne turmas em alfabetização,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highlight w:val="yellow"/>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highlight w:val="yellow"/>
        </w:rPr>
        <w:t>atenção da teoria da atuação às dimensões do contexto e às respostas dos profissionais, que podem ir da acomodação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highlight w:val="yellow"/>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highlight w:val="yellow"/>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e não debitadas na conta de cada profissional.</w:t>
      </w:r>
    </w:p>
    <w:p>
      <w:pPr>
        <w:spacing w:line="360" w:lineRule="auto"/>
        <w:ind w:firstLine="709"/>
        <w:jc w:val="both"/>
      </w:pPr>
      <w:r>
        <w:rPr>
          <w:rFonts w:ascii="Times New Roman" w:hAnsi="Times New Roman"/>
          <w:sz w:val="24"/>
          <w:highlight w:val="yellow"/>
        </w:rPr>
        <w:t>4.3.1 Culturas profissionais, performatividade e resistências: a hipótese a examinar</w:t>
      </w:r>
    </w:p>
    <w:p>
      <w:pPr>
        <w:spacing w:line="360" w:lineRule="auto"/>
        <w:ind w:firstLine="709"/>
        <w:jc w:val="both"/>
      </w:pPr>
      <w:r>
        <w:rPr>
          <w:rFonts w:ascii="Times New Roman" w:hAnsi="Times New Roman"/>
          <w:sz w:val="24"/>
          <w:highlight w:val="yellow"/>
        </w:rPr>
        <w:t>Antes de apresentar a hipótese, um exemplo ajuda. Imaginemos uma escola que precisa mostrar à rede que trabalha educação digital com as turmas de alfabetização. Numa sala com computadores e conexão, a professora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 xml:space="preserve">Nossa </w:t>
      </w:r>
      <w:r>
        <w:rPr>
          <w:rFonts w:ascii="Times New Roman" w:hAnsi="Times New Roman"/>
          <w:sz w:val="24"/>
          <w:highlight w:val="yellow"/>
        </w:rPr>
        <w:t>hipótese</w:t>
      </w:r>
      <w:r>
        <w:rPr>
          <w:rFonts w:ascii="Times New Roman" w:hAnsi="Times New Roman"/>
          <w:sz w:val="24"/>
        </w:rPr>
        <w:t xml:space="preserve">, no caso de Pipa, é que </w:t>
      </w:r>
      <w:r>
        <w:rPr>
          <w:rFonts w:ascii="Times New Roman" w:hAnsi="Times New Roman"/>
          <w:sz w:val="24"/>
          <w:highlight w:val="yellow"/>
        </w:rPr>
        <w:t>as especificidades socioespaciais do território e as culturas profissionais da escola operam como espaços de ressignificação ou de resistência frente à PNED e às pressões da performatividade. A hipótese se apoia no desenho</w:t>
      </w:r>
      <w:r>
        <w:rPr>
          <w:rFonts w:ascii="Times New Roman" w:hAnsi="Times New Roman"/>
          <w:sz w:val="24"/>
        </w:rPr>
        <w:t xml:space="preserve"> da lei, examinado no Capítulo 5: o eixo de inclusão digital, no qual se inclui a conectividade das escolas, deve ser desenvolvido </w:t>
      </w:r>
      <w:r>
        <w:rPr>
          <w:rFonts w:ascii="Times New Roman" w:hAnsi="Times New Roman"/>
          <w:sz w:val="24"/>
        </w:rPr>
        <w:t xml:space="preserve">dentro dos limites orçamentários e </w:t>
      </w:r>
      <w:r>
        <w:rPr>
          <w:rFonts w:ascii="Times New Roman" w:hAnsi="Times New Roman"/>
          <w:sz w:val="24"/>
          <w:highlight w:val="yellow"/>
        </w:rPr>
        <w:t>da</w:t>
      </w:r>
      <w:r>
        <w:rPr>
          <w:rFonts w:ascii="Times New Roman" w:hAnsi="Times New Roman"/>
          <w:sz w:val="24"/>
        </w:rPr>
        <w:t xml:space="preserve"> competência de cada órgão </w:t>
      </w:r>
      <w:r>
        <w:rPr>
          <w:rFonts w:ascii="Times New Roman" w:hAnsi="Times New Roman"/>
          <w:sz w:val="24"/>
          <w:highlight w:val="yellow"/>
        </w:rPr>
        <w:t>envolvido</w:t>
      </w:r>
      <w:r>
        <w:rPr>
          <w:rFonts w:ascii="Times New Roman" w:hAnsi="Times New Roman"/>
          <w:sz w:val="24"/>
        </w:rPr>
        <w:t xml:space="preserve"> (BRASIL, 2023, art. 2º), e entre as fontes de recursos não há fundo próprio nem transferência obrigatória aos municípios (BRASIL, 2023, art. 11). </w:t>
      </w:r>
      <w:r>
        <w:rPr>
          <w:rFonts w:ascii="Times New Roman" w:hAnsi="Times New Roman"/>
          <w:sz w:val="24"/>
          <w:highlight w:val="yellow"/>
        </w:rPr>
        <w:t>Quando a política declara um direito, distribui entre os entes a provisão das condições e não garante sua chegada à escola, os profissionais precisam decidir o que fazer com a distância. Se parte dessa distância for coberta com meios próprios</w:t>
      </w:r>
      <w:r>
        <w:rPr>
          <w:rFonts w:ascii="Times New Roman" w:hAnsi="Times New Roman"/>
          <w:sz w:val="24"/>
        </w:rPr>
        <w:t>, o achado não será criatividade docente, e sim um custo não pago pelo Estado e assumido por alguém em seu lugar, retirado do próprio bolso, do próprio celular ou do próprio tempo de descanso.</w:t>
      </w:r>
    </w:p>
    <w:p>
      <w:pPr>
        <w:spacing w:line="360" w:lineRule="auto"/>
        <w:ind w:firstLine="709"/>
        <w:jc w:val="both"/>
      </w:pPr>
      <w:r>
        <w:rPr>
          <w:rFonts w:ascii="Times New Roman" w:hAnsi="Times New Roman"/>
          <w:sz w:val="24"/>
          <w:highlight w:val="yellow"/>
        </w:rPr>
        <w:t>A hipótese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highlight w:val="yellow"/>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highlight w:val="yellow"/>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highlight w:val="yellow"/>
        </w:rPr>
        <w:t>, e</w:t>
      </w:r>
      <w:r>
        <w:rPr>
          <w:rFonts w:ascii="Times New Roman" w:hAnsi="Times New Roman"/>
          <w:sz w:val="24"/>
        </w:rPr>
        <w:t xml:space="preserve"> a condição anunciada, seja o equipamento, a conexão ou a formação, </w:t>
      </w:r>
      <w:r>
        <w:rPr>
          <w:rFonts w:ascii="Times New Roman" w:hAnsi="Times New Roman"/>
          <w:sz w:val="24"/>
          <w:highlight w:val="yellow"/>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highlight w:val="yellow"/>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highlight w:val="yellow"/>
        </w:rPr>
        <w:t>; o vazio material nomeia uma condição inscrita no texto da lei, examinada no Capítulo 5. A hipótese de ressignificação e resistência diz respeito à</w:t>
      </w:r>
      <w:r>
        <w:rPr>
          <w:rFonts w:ascii="Times New Roman" w:hAnsi="Times New Roman"/>
          <w:sz w:val="24"/>
        </w:rPr>
        <w:t xml:space="preserve"> ação profissional, e somente as narrativas podem </w:t>
      </w:r>
      <w:r>
        <w:rPr>
          <w:rFonts w:ascii="Times New Roman" w:hAnsi="Times New Roman"/>
          <w:sz w:val="24"/>
          <w:highlight w:val="yellow"/>
        </w:rPr>
        <w:t>examiná</w:t>
      </w:r>
      <w:r>
        <w:rPr>
          <w:rFonts w:ascii="Times New Roman" w:hAnsi="Times New Roman"/>
          <w:sz w:val="24"/>
        </w:rPr>
        <w:t>-la, com os critérios fixados a seguir. As</w:t>
      </w:r>
      <w:r>
        <w:rPr>
          <w:rFonts w:ascii="Times New Roman" w:hAnsi="Times New Roman"/>
          <w:sz w:val="24"/>
        </w:rPr>
        <w:t xml:space="preserve"> condições chegam ao Capítulo 7 como condições documentadas; a </w:t>
      </w:r>
      <w:r>
        <w:rPr>
          <w:rFonts w:ascii="Times New Roman" w:hAnsi="Times New Roman"/>
          <w:sz w:val="24"/>
          <w:highlight w:val="yellow"/>
        </w:rPr>
        <w:t>hipótese</w:t>
      </w:r>
      <w:r>
        <w:rPr>
          <w:rFonts w:ascii="Times New Roman" w:hAnsi="Times New Roman"/>
          <w:sz w:val="24"/>
        </w:rPr>
        <w:t xml:space="preserve"> chega como hipótese.</w:t>
      </w:r>
    </w:p>
    <w:p>
      <w:pPr>
        <w:spacing w:line="360" w:lineRule="auto"/>
        <w:ind w:firstLine="709"/>
        <w:jc w:val="both"/>
      </w:pPr>
      <w:r>
        <w:rPr>
          <w:rFonts w:ascii="Times New Roman" w:hAnsi="Times New Roman"/>
          <w:sz w:val="24"/>
          <w:highlight w:val="yellow"/>
        </w:rPr>
        <w:t>Por ser uma hipótese, ela precisa poder falhar. Seus critérios foram registrados antes da primeira entrevista e não serão alterados depois dela; qualquer mudança exigirá novo registro, datado e justificado. A análise fará o mapeamento da recontextualização, isto é, identificará nas narrativas e nos documentos quatro movimentos possíveis diante das orientações da PNED. O primeiro é a acomodação: a orientação é acolhida e realizada como prescrita, com os meios disponíveis. O segundo é a omissão seletiva: partes da orientação ficam fora do planejamento e da prática, e o relato indica por quê, seja por serem inexequíveis, seja por não fazerem sentido para a turma. O terceiro é a tradução para fins locais, que assume caráter subversivo quando altera a finalidade da orientação para servir à turma e à comunidade, como um trabalho de direitos digitais ligado à exposição da imagem das crianças num distrito turístico. O quarto é a fabricação performativa (BALL, 2002):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desses movimentos.</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A profissional aprende por conta própria, no tempo retirado da jornada, ou ensina o que já domina, e o eixo se reduz a esse repertório. Aprender sozinha </w:t>
      </w:r>
      <w:r>
        <w:rPr>
          <w:rFonts w:ascii="Times New Roman" w:hAnsi="Times New Roman"/>
          <w:sz w:val="24"/>
          <w:highlight w:val="yellow"/>
        </w:rPr>
        <w:t>é uma forma de suprir a condição ausente</w:t>
      </w:r>
      <w:r>
        <w:rPr>
          <w:rFonts w:ascii="Times New Roman" w:hAnsi="Times New Roman"/>
          <w:sz w:val="24"/>
        </w:rPr>
        <w:t xml:space="preserve">. Ensinar o que já domina </w:t>
      </w:r>
      <w:r>
        <w:rPr>
          <w:rFonts w:ascii="Times New Roman" w:hAnsi="Times New Roman"/>
          <w:sz w:val="24"/>
          <w:highlight w:val="yellow"/>
        </w:rPr>
        <w:t>pode corresponder a uma omissão seletiva</w:t>
      </w:r>
      <w:r>
        <w:rPr>
          <w:rFonts w:ascii="Times New Roman" w:hAnsi="Times New Roman"/>
          <w:sz w:val="24"/>
        </w:rPr>
        <w:t>, mas a restrição também pode resultar de escolha pedagógica sem relação com a ausência. Não avaliamos o saber das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hipótese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highlight w:val="yellow"/>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highlight w:val="yellow"/>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hipótese se sustenta</w:t>
      </w:r>
      <w:r>
        <w:rPr>
          <w:rFonts w:ascii="Times New Roman" w:hAnsi="Times New Roman"/>
          <w:sz w:val="24"/>
        </w:rPr>
        <w:t xml:space="preserve"> se as narrativas descreverem</w:t>
      </w:r>
      <w:r>
        <w:rPr>
          <w:rFonts w:ascii="Times New Roman" w:hAnsi="Times New Roman"/>
          <w:sz w:val="24"/>
          <w:highlight w:val="yellow"/>
        </w:rPr>
        <w:t>, de forma recorrente e</w:t>
      </w:r>
      <w:r>
        <w:rPr>
          <w:rFonts w:ascii="Times New Roman" w:hAnsi="Times New Roman"/>
          <w:sz w:val="24"/>
        </w:rPr>
        <w:t xml:space="preserve"> sem indução pela pergunta, </w:t>
      </w:r>
      <w:r>
        <w:rPr>
          <w:rFonts w:ascii="Times New Roman" w:hAnsi="Times New Roman"/>
          <w:sz w:val="24"/>
          <w:highlight w:val="yellow"/>
        </w:rPr>
        <w:t>movimentos de omissão seletiva, de tradução para fins locais ou de fabricação performativa, e se esses movimentos aparecerem relacionados às condições do território ou às culturas profissionais da escola, e não apenas a preferências individuais</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highlight w:val="yellow"/>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highlight w:val="yellow"/>
        </w:rPr>
        <w:t>Três situações levam à recusa. Na primeira, as narrativas descrevem sobretudo acomodação: as orientações são acolhidas e realizadas como prescritas, e as adaptações não se distinguem do trabalho pedagógico comum. Na segunda, os profissionais descrevem a orientação da PNED como ambígua e o próprio trabalho como esforço de interpretá-la; nesse caso, a recontextualização da ACP já explica o fenômeno, sem necessidade de falar em resistência. Na terceira, os movimentos aparecem, mas sem relação com o território ou com as culturas profissionais, explicados por fatores de outra ordem, e a hipótese não se sustenta tal como foi formulada.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os movimentos de resistência.</w:t>
      </w:r>
    </w:p>
    <w:p>
      <w:pPr>
        <w:spacing w:line="360" w:lineRule="auto"/>
        <w:ind w:firstLine="709"/>
        <w:jc w:val="both"/>
      </w:pPr>
      <w:r>
        <w:rPr>
          <w:rFonts w:ascii="Times New Roman" w:hAnsi="Times New Roman"/>
          <w:sz w:val="24"/>
        </w:rPr>
        <w:t xml:space="preserve">Há também duas situações intermediárias. Se </w:t>
      </w:r>
      <w:r>
        <w:rPr>
          <w:rFonts w:ascii="Times New Roman" w:hAnsi="Times New Roman"/>
          <w:sz w:val="24"/>
          <w:highlight w:val="yellow"/>
        </w:rPr>
        <w:t>os movimentos aparecerem</w:t>
      </w:r>
      <w:r>
        <w:rPr>
          <w:rFonts w:ascii="Times New Roman" w:hAnsi="Times New Roman"/>
          <w:sz w:val="24"/>
        </w:rPr>
        <w:t xml:space="preserve">, mas os profissionais afirmarem não haver alternativa, o quadro é de transferência de custo do Estado para o trabalhador, </w:t>
      </w:r>
      <w:r>
        <w:rPr>
          <w:rFonts w:ascii="Times New Roman" w:hAnsi="Times New Roman"/>
          <w:sz w:val="24"/>
          <w:highlight w:val="yellow"/>
        </w:rPr>
        <w:t>mais próximo da sobrevivência do que da resistência</w:t>
      </w:r>
      <w:r>
        <w:rPr>
          <w:rFonts w:ascii="Times New Roman" w:hAnsi="Times New Roman"/>
          <w:sz w:val="24"/>
        </w:rPr>
        <w:t xml:space="preserve">. O achado continua válido, e a formulação muda de nome. Essa distinção será examinada nas perguntas do Eixo </w:t>
      </w:r>
      <w:r>
        <w:rPr>
          <w:rFonts w:ascii="Times New Roman" w:hAnsi="Times New Roman"/>
          <w:sz w:val="24"/>
          <w:highlight w:val="yellow"/>
        </w:rPr>
        <w:t>5</w:t>
      </w:r>
      <w:r>
        <w:rPr>
          <w:rFonts w:ascii="Times New Roman" w:hAnsi="Times New Roman"/>
          <w:sz w:val="24"/>
        </w:rPr>
        <w:t xml:space="preserve"> sobre o modo como o profissional entende </w:t>
      </w:r>
      <w:r>
        <w:rPr>
          <w:rFonts w:ascii="Times New Roman" w:hAnsi="Times New Roman"/>
          <w:sz w:val="24"/>
          <w:highlight w:val="yellow"/>
        </w:rPr>
        <w:t>as próprias decisões. Se os movimentos aparecerem</w:t>
      </w:r>
      <w:r>
        <w:rPr>
          <w:rFonts w:ascii="Times New Roman" w:hAnsi="Times New Roman"/>
          <w:sz w:val="24"/>
        </w:rPr>
        <w:t xml:space="preserve"> entre profissionais em regência e não entre quem está na coordenação</w:t>
      </w:r>
      <w:r>
        <w:rPr>
          <w:rFonts w:ascii="Times New Roman" w:hAnsi="Times New Roman"/>
          <w:sz w:val="24"/>
          <w:highlight w:val="yellow"/>
        </w:rPr>
        <w:t xml:space="preserve"> ou na direção, a hipótese</w:t>
      </w:r>
      <w:r>
        <w:rPr>
          <w:rFonts w:ascii="Times New Roman" w:hAnsi="Times New Roman"/>
          <w:sz w:val="24"/>
        </w:rPr>
        <w:t xml:space="preserve"> fica delimitada a essa posição institucional. </w:t>
      </w:r>
      <w:r>
        <w:rPr>
          <w:rFonts w:ascii="Times New Roman" w:hAnsi="Times New Roman"/>
          <w:sz w:val="24"/>
          <w:highlight w:val="yellow"/>
        </w:rPr>
        <w:t>A direção tem um participante</w:t>
      </w:r>
      <w:r>
        <w:rPr>
          <w:rFonts w:ascii="Times New Roman" w:hAnsi="Times New Roman"/>
          <w:sz w:val="24"/>
        </w:rPr>
        <w:t xml:space="preserve">, o que permite descrever </w:t>
      </w:r>
      <w:r>
        <w:rPr>
          <w:rFonts w:ascii="Times New Roman" w:hAnsi="Times New Roman"/>
          <w:sz w:val="24"/>
          <w:highlight w:val="yellow"/>
        </w:rPr>
        <w:t>essa posição, sem generalizar sobre ela</w:t>
      </w:r>
      <w:r>
        <w:rPr>
          <w:rFonts w:ascii="Times New Roman" w:hAnsi="Times New Roman"/>
          <w:sz w:val="24"/>
        </w:rPr>
        <w:t xml:space="preserve">. No Capítulo 7, indicaremos qual das </w:t>
      </w:r>
      <w:r>
        <w:rPr>
          <w:rFonts w:ascii="Times New Roman" w:hAnsi="Times New Roman"/>
          <w:sz w:val="24"/>
          <w:highlight w:val="yellow"/>
        </w:rPr>
        <w:t>situações se verificou: sustentação</w:t>
      </w:r>
      <w:r>
        <w:rPr>
          <w:rFonts w:ascii="Times New Roman" w:hAnsi="Times New Roman"/>
          <w:sz w:val="24"/>
        </w:rPr>
        <w:t>, delimitação, renomeação ou recusa.</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a professora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highlight w:val="yellow"/>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highlight w:val="yellow"/>
        </w:rPr>
        <w:t>fazem</w:t>
      </w:r>
      <w:r>
        <w:rPr>
          <w:rFonts w:ascii="Times New Roman" w:hAnsi="Times New Roman"/>
          <w:sz w:val="24"/>
        </w:rPr>
        <w:t xml:space="preserve"> o eixo parecer em andamento e </w:t>
      </w:r>
      <w:r>
        <w:rPr>
          <w:rFonts w:ascii="Times New Roman" w:hAnsi="Times New Roman"/>
          <w:sz w:val="24"/>
          <w:highlight w:val="yellow"/>
        </w:rPr>
        <w:t>escondem</w:t>
      </w:r>
      <w:r>
        <w:rPr>
          <w:rFonts w:ascii="Times New Roman" w:hAnsi="Times New Roman"/>
          <w:sz w:val="24"/>
        </w:rPr>
        <w:t xml:space="preserve"> a falta dos meios devidos. É nesse </w:t>
      </w:r>
      <w:r>
        <w:rPr>
          <w:rFonts w:ascii="Times New Roman" w:hAnsi="Times New Roman"/>
          <w:sz w:val="24"/>
          <w:highlight w:val="yellow"/>
        </w:rPr>
        <w:t>ponto que a performatividade ganha peso analítico</w:t>
      </w:r>
      <w:r>
        <w:rPr>
          <w:rFonts w:ascii="Times New Roman" w:hAnsi="Times New Roman"/>
          <w:sz w:val="24"/>
        </w:rPr>
        <w:t>: quando o improviso funciona</w:t>
      </w:r>
      <w:r>
        <w:rPr>
          <w:rFonts w:ascii="Times New Roman" w:hAnsi="Times New Roman"/>
          <w:sz w:val="24"/>
          <w:highlight w:val="yellow"/>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highlight w:val="yellow"/>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highlight w:val="yellow"/>
        </w:rPr>
        <w:t>O roteiro das entrevistas tem seis eixos: trajetória e culturas profissionais; interpretação da política; tradução, com a dimensão material e o território; performatividade, com registros, metas e cobranças; ressignificação e resistência;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highlight w:val="yellow"/>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highlight w:val="yellow"/>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highlight w:val="yellow"/>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highlight w:val="yellow"/>
        </w:rPr>
        <w:t>A parte do roteiro dirigida à coordenação e à direção recebe</w:t>
      </w:r>
      <w:r>
        <w:rPr>
          <w:rFonts w:ascii="Times New Roman" w:hAnsi="Times New Roman"/>
          <w:sz w:val="24"/>
        </w:rPr>
        <w:t xml:space="preserve"> perguntas equivalentes, indispensáveis ao exame da delimitação por posição institucional. </w:t>
      </w:r>
      <w:r>
        <w:rPr>
          <w:rFonts w:ascii="Times New Roman" w:hAnsi="Times New Roman"/>
          <w:sz w:val="24"/>
          <w:highlight w:val="yellow"/>
        </w:rPr>
        <w:t>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highlight w:val="yellow"/>
        </w:rPr>
        <w:t>,</w:t>
      </w:r>
      <w:r>
        <w:rPr>
          <w:rFonts w:ascii="Times New Roman" w:hAnsi="Times New Roman"/>
          <w:sz w:val="24"/>
        </w:rPr>
        <w:t xml:space="preserve"> a frequência do trabalho feito fora da jornada</w:t>
      </w:r>
      <w:r>
        <w:rPr>
          <w:rFonts w:ascii="Times New Roman" w:hAnsi="Times New Roman"/>
          <w:sz w:val="24"/>
          <w:highlight w:val="yellow"/>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highlight w:val="yellow"/>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highlight w:val="yellow"/>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highlight w:val="yellow"/>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highlight w:val="yellow"/>
        </w:rPr>
        <w:t>. Se a hipótese se sustentar, mostrará também</w:t>
      </w:r>
      <w:r>
        <w:rPr>
          <w:rFonts w:ascii="Times New Roman" w:hAnsi="Times New Roman"/>
          <w:sz w:val="24"/>
        </w:rPr>
        <w:t xml:space="preserve"> um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Escola Municipal Domitila Castelo,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w:t>
      </w:r>
      <w:r>
        <w:rPr>
          <w:rFonts w:ascii="Times New Roman" w:hAnsi="Times New Roman"/>
          <w:sz w:val="24"/>
          <w:highlight w:val="yellow"/>
        </w:rPr>
        <w:t xml:space="preserve"> e a direção escolar</w:t>
      </w:r>
      <w:r>
        <w:rPr>
          <w:rFonts w:ascii="Times New Roman" w:hAnsi="Times New Roman"/>
          <w:sz w:val="24"/>
        </w:rPr>
        <w:t xml:space="preserve"> são outras. Ball, Maguire e Braun (2016</w:t>
      </w:r>
      <w:r>
        <w:rPr>
          <w:rFonts w:ascii="Times New Roman" w:hAnsi="Times New Roman"/>
          <w:sz w:val="24"/>
        </w:rPr>
        <w:t xml:space="preserve">) registram essa diferença ao observar que </w:t>
      </w:r>
      <w:r>
        <w:rPr>
          <w:rFonts w:ascii="Times New Roman" w:hAnsi="Times New Roman"/>
          <w:sz w:val="24"/>
          <w:highlight w:val="yellow"/>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highlight w:val="yellow"/>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highlight w:val="yellow"/>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highlight w:val="yellow"/>
        </w:rPr>
        <w:t>que alcançam a escola</w:t>
      </w:r>
      <w:r>
        <w:rPr>
          <w:rFonts w:ascii="Times New Roman" w:hAnsi="Times New Roman"/>
          <w:sz w:val="24"/>
        </w:rPr>
        <w:t>. Quem trabalha diretamente nos 1º e 2º anos mostra como as orientações são interpretadas diante das condições do cotidiano escolar. A Secretaria</w:t>
      </w:r>
      <w:r>
        <w:rPr>
          <w:rFonts w:ascii="Times New Roman" w:hAnsi="Times New Roman"/>
          <w:sz w:val="24"/>
          <w:highlight w:val="yellow"/>
        </w:rPr>
        <w:t xml:space="preserve"> Municipal de Educação não integra o grupo de participantes; suas orientações e seus registros chegam à análise pelos documentos, como parte da dimensão externa do contexto.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highlight w:val="yellow"/>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As entrevistas serão individuais, em espaço reservado, gravadas com o consentimento dos participantes e depois transcritas.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highlight w:val="yellow"/>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w:t>
      </w:r>
      <w:r>
        <w:rPr>
          <w:rFonts w:ascii="Times New Roman" w:hAnsi="Times New Roman"/>
          <w:sz w:val="24"/>
          <w:highlight w:val="yellow"/>
        </w:rPr>
        <w:t>onze</w:t>
      </w:r>
      <w:r>
        <w:rPr>
          <w:rFonts w:ascii="Times New Roman" w:hAnsi="Times New Roman"/>
          <w:sz w:val="24"/>
        </w:rPr>
        <w:t xml:space="preserve"> profissionais da educação da </w:t>
      </w:r>
      <w:r>
        <w:rPr>
          <w:rFonts w:ascii="Times New Roman" w:hAnsi="Times New Roman"/>
          <w:sz w:val="24"/>
          <w:highlight w:val="yellow"/>
        </w:rPr>
        <w:t>Escola Municipal Domitila Castelo</w:t>
      </w:r>
      <w:r>
        <w:rPr>
          <w:rFonts w:ascii="Times New Roman" w:hAnsi="Times New Roman"/>
          <w:sz w:val="24"/>
        </w:rPr>
        <w:t xml:space="preserve">, em diferentes funções ligadas à </w:t>
      </w:r>
      <w:r>
        <w:rPr>
          <w:rFonts w:ascii="Times New Roman" w:hAnsi="Times New Roman"/>
          <w:sz w:val="24"/>
          <w:highlight w:val="yellow"/>
        </w:rPr>
        <w:t>encenação</w:t>
      </w:r>
      <w:r>
        <w:rPr>
          <w:rFonts w:ascii="Times New Roman" w:hAnsi="Times New Roman"/>
          <w:sz w:val="24"/>
        </w:rPr>
        <w:t xml:space="preserve"> da política: seis que trabalham diretamente nas turmas do 1º e do 2º anos do Ensino Fundamental, quatro da coordenação pedagógica</w:t>
      </w:r>
      <w:r>
        <w:rPr>
          <w:rFonts w:ascii="Times New Roman" w:hAnsi="Times New Roman"/>
          <w:sz w:val="24"/>
          <w:highlight w:val="yellow"/>
        </w:rPr>
        <w:t xml:space="preserve"> e</w:t>
      </w:r>
      <w:r>
        <w:rPr>
          <w:rFonts w:ascii="Times New Roman" w:hAnsi="Times New Roman"/>
          <w:sz w:val="24"/>
        </w:rPr>
        <w:t xml:space="preserve"> um da direção escolar</w:t>
      </w:r>
      <w:r>
        <w:rPr>
          <w:rFonts w:ascii="Times New Roman" w:hAnsi="Times New Roman"/>
          <w:sz w:val="24"/>
        </w:rPr>
        <w:t>.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Seis desses profissionais trabalham diretamente com as três turmas do 1º ano, com setenta e quatro crianças matriculadas, e com as três turmas do 2º ano, com sessenta e seis estudantes. São cento e quarenta crianças em processo de alfabetização, em convívio diário com esses seis profissionais. Mesmo sem ouvi-las, é por elas que esta pesquisa existe.</w:t>
      </w:r>
    </w:p>
    <w:p>
      <w:pPr>
        <w:spacing w:line="360" w:lineRule="auto"/>
        <w:ind w:firstLine="709"/>
        <w:jc w:val="both"/>
      </w:pPr>
      <w:r>
        <w:rPr>
          <w:rFonts w:ascii="Times New Roman" w:hAnsi="Times New Roman"/>
          <w:sz w:val="24"/>
        </w:rPr>
        <w:t>Completam o grupo quatro profissionais da coordenação pedagógica</w:t>
      </w:r>
      <w:r>
        <w:rPr>
          <w:rFonts w:ascii="Times New Roman" w:hAnsi="Times New Roman"/>
          <w:sz w:val="24"/>
          <w:highlight w:val="yellow"/>
        </w:rPr>
        <w:t xml:space="preserve"> e</w:t>
      </w:r>
      <w:r>
        <w:rPr>
          <w:rFonts w:ascii="Times New Roman" w:hAnsi="Times New Roman"/>
          <w:sz w:val="24"/>
        </w:rPr>
        <w:t xml:space="preserve"> um da direção da unidade</w:t>
      </w:r>
      <w:r>
        <w:rPr>
          <w:rFonts w:ascii="Times New Roman" w:hAnsi="Times New Roman"/>
          <w:sz w:val="24"/>
        </w:rPr>
        <w:t>, cada qual com as responsabilidades, as condições e as possibilidades de ação próprias da função.</w:t>
      </w:r>
    </w:p>
    <w:p>
      <w:pPr>
        <w:spacing w:line="360" w:lineRule="auto"/>
        <w:ind w:firstLine="709"/>
        <w:jc w:val="both"/>
      </w:pPr>
      <w:r>
        <w:rPr>
          <w:rFonts w:ascii="Times New Roman" w:hAnsi="Times New Roman"/>
          <w:sz w:val="24"/>
          <w:highlight w:val="yellow"/>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 xml:space="preserve">São quatro instrumentos, e a ordem de entrada importa, pois cada um abre acesso a uma dimensão do problema. Começamos pelo questionário de perfil sociodemográfico e profissional, destinado a situar os </w:t>
      </w:r>
      <w:r>
        <w:rPr>
          <w:rFonts w:ascii="Times New Roman" w:hAnsi="Times New Roman"/>
          <w:sz w:val="24"/>
          <w:highlight w:val="yellow"/>
        </w:rPr>
        <w:t>onze</w:t>
      </w:r>
      <w:r>
        <w:rPr>
          <w:rFonts w:ascii="Times New Roman" w:hAnsi="Times New Roman"/>
          <w:sz w:val="24"/>
        </w:rPr>
        <w:t xml:space="preserve"> profissionais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As entrevistas semiestruturadas só começam depois da sistematização desses dados, e nelas aparecem as interpretações, os sentidos e as justificativas dos profissionais. A análise documental, voltada aos registros institucionais, e o registro iconográfico, dedicado à materialidade do campo, completam o conjunto.</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highlight w:val="yellow"/>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highlight w:val="yellow"/>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highlight w:val="yellow"/>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highlight w:val="yellow"/>
        </w:rPr>
        <w:t>4.4.3</w:t>
      </w:r>
      <w:r>
        <w:rPr>
          <w:rFonts w:ascii="Times New Roman" w:hAnsi="Times New Roman"/>
          <w:sz w:val="24"/>
        </w:rPr>
        <w:t xml:space="preserve"> Questionário de perfil dos profissionais da educação</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highlight w:val="yellow"/>
        </w:rPr>
        <w:t>(Apêndice B) tem cinco</w:t>
      </w:r>
      <w:r>
        <w:rPr>
          <w:rFonts w:ascii="Times New Roman" w:hAnsi="Times New Roman"/>
          <w:sz w:val="24"/>
        </w:rPr>
        <w:t xml:space="preserve"> blocos temáticos, ligados às dimensões </w:t>
      </w:r>
      <w:r>
        <w:rPr>
          <w:rFonts w:ascii="Times New Roman" w:hAnsi="Times New Roman"/>
          <w:sz w:val="24"/>
          <w:highlight w:val="yellow"/>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highlight w:val="yellow"/>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highlight w:val="yellow"/>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highlight w:val="yellow"/>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highlight w:val="yellow"/>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highlight w:val="yellow"/>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highlight w:val="yellow"/>
        </w:rPr>
        <w:t>4.4.4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O corpus documental tem dois conjuntos, com finalidades diferentes. O primeiro, pedagógico e institucional, reúne o Projeto Político-Pedagógico (PPP), planos de aula das turmas de 1º e 2º anos,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highlight w:val="yellow"/>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highlight w:val="yellow"/>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highlight w:val="yellow"/>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highlight w:val="yellow"/>
        </w:rPr>
        <w:t>4.4.5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de 1º e 2º anos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highlight w:val="yellow"/>
        </w:rPr>
        <w:t>oito</w:t>
      </w:r>
      <w:r>
        <w:rPr>
          <w:rFonts w:ascii="Times New Roman" w:hAnsi="Times New Roman"/>
          <w:sz w:val="24"/>
        </w:rPr>
        <w:t xml:space="preserve"> figuras analisadas no Capítulo 6, entre fotografias</w:t>
      </w:r>
      <w:r>
        <w:rPr>
          <w:rFonts w:ascii="Times New Roman" w:hAnsi="Times New Roman"/>
          <w:sz w:val="24"/>
          <w:highlight w:val="yellow"/>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highlight w:val="yellow"/>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nossa)2</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 2 Thematic analysis is a method for identifying, analysing, and reporting patterns (themes) within data. It minimally organises and describes your data set in (rich) detail. However, it also often goes further than this, and interprets various aspects of the research topic. (BRAUN; CLARKE, 2006, p. 79)</w:t>
      </w:r>
    </w:p>
    <w:p>
      <w:pPr>
        <w:spacing w:line="360" w:lineRule="auto"/>
        <w:ind w:firstLine="709"/>
        <w:jc w:val="both"/>
      </w:pPr>
      <w:r>
        <w:rPr>
          <w:rFonts w:ascii="Times New Roman" w:hAnsi="Times New Roman"/>
          <w:sz w:val="24"/>
          <w:highlight w:val="yellow"/>
        </w:rPr>
        <w:t>4.5.1</w:t>
      </w:r>
      <w:r>
        <w:rPr>
          <w:rFonts w:ascii="Times New Roman" w:hAnsi="Times New Roman"/>
          <w:sz w:val="24"/>
        </w:rPr>
        <w:t xml:space="preserve"> O percurso analítico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highlight w:val="yellow"/>
        </w:rPr>
        <w:t>A matriz inicial tem oito dimensões sensibilizadoras. Quatro vêm das dimensões do contexto propostas pela teoria da atuação: situacional, culturas profissionais, lidas em seu conteúdo e em sua forma (HARGREAVES, 2005), material e externa. Três dizem respeito aos movimentos descritos na seção 4.3: a interpretação do texto legal; as táticas de tradução, que incluem a acomodação, a omissão seletiva, a tradução para fins locais e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highlight w:val="yellow"/>
        </w:rPr>
        <w:t>na dimensão material</w:t>
      </w:r>
      <w:r>
        <w:rPr>
          <w:rFonts w:ascii="Times New Roman" w:hAnsi="Times New Roman"/>
          <w:sz w:val="24"/>
        </w:rPr>
        <w:t xml:space="preserve">, e a formação será lida também como condição cuja ausência pode </w:t>
      </w:r>
      <w:r>
        <w:rPr>
          <w:rFonts w:ascii="Times New Roman" w:hAnsi="Times New Roman"/>
          <w:sz w:val="24"/>
          <w:highlight w:val="yellow"/>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highlight w:val="yellow"/>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highlight w:val="yellow"/>
        </w:rPr>
        <w:t>dimensões do contexto e as respostas dos profissionais</w:t>
      </w:r>
      <w:r>
        <w:rPr>
          <w:rFonts w:ascii="Times New Roman" w:hAnsi="Times New Roman"/>
          <w:sz w:val="24"/>
        </w:rPr>
        <w:t xml:space="preserve"> e ajuda a entender a participação </w:t>
      </w:r>
      <w:r>
        <w:rPr>
          <w:rFonts w:ascii="Times New Roman" w:hAnsi="Times New Roman"/>
          <w:sz w:val="24"/>
          <w:highlight w:val="yellow"/>
        </w:rPr>
        <w:t>deles</w:t>
      </w:r>
      <w:r>
        <w:rPr>
          <w:rFonts w:ascii="Times New Roman" w:hAnsi="Times New Roman"/>
          <w:sz w:val="24"/>
        </w:rPr>
        <w:t xml:space="preserve"> na produção dos sentidos da política na escola. A </w:t>
      </w:r>
      <w:r>
        <w:rPr>
          <w:rFonts w:ascii="Times New Roman" w:hAnsi="Times New Roman"/>
          <w:sz w:val="24"/>
          <w:highlight w:val="yellow"/>
        </w:rPr>
        <w:t>hipótese de ressignificação e resistência, se sustentada, dará nome a algumas</w:t>
      </w:r>
      <w:r>
        <w:rPr>
          <w:rFonts w:ascii="Times New Roman" w:hAnsi="Times New Roman"/>
          <w:sz w:val="24"/>
        </w:rPr>
        <w:t xml:space="preserve"> dessas formas de participação</w:t>
      </w:r>
      <w:r>
        <w:rPr>
          <w:rFonts w:ascii="Times New Roman" w:hAnsi="Times New Roman"/>
          <w:sz w:val="24"/>
        </w:rPr>
        <w:t>.</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highlight w:val="yellow"/>
        </w:rPr>
        <w:t>Braun e Clarke (2019) lembram que a reflexividade é parte inseparável da análise: na análise temática reflexiva, como vimos na Introdução, a subjetividade é recurso analítico, e não viés a eliminar.</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highlight w:val="yellow"/>
        </w:rPr>
        <w:t>sustentar a hipótese da tese</w:t>
      </w:r>
      <w:r>
        <w:rPr>
          <w:rFonts w:ascii="Times New Roman" w:hAnsi="Times New Roman"/>
          <w:sz w:val="24"/>
        </w:rPr>
        <w:t xml:space="preserve">, porém, exigimos recorrência, conforme a seção 4.3. Há aqui uma tensão assumida: uma </w:t>
      </w:r>
      <w:r>
        <w:rPr>
          <w:rFonts w:ascii="Times New Roman" w:hAnsi="Times New Roman"/>
          <w:sz w:val="24"/>
          <w:highlight w:val="yellow"/>
        </w:rPr>
        <w:t>hipótese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highlight w:val="yellow"/>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highlight w:val="yellow"/>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highlight w:val="yellow"/>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highlight w:val="yellow"/>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highlight w:val="yellow"/>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highlight w:val="yellow"/>
        </w:rPr>
        <w:t>de exame da hipótese,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aos </w:t>
      </w:r>
      <w:r>
        <w:rPr>
          <w:rFonts w:ascii="Times New Roman" w:hAnsi="Times New Roman"/>
          <w:sz w:val="24"/>
          <w:highlight w:val="yellow"/>
        </w:rPr>
        <w:t>onze</w:t>
      </w:r>
      <w:r>
        <w:rPr>
          <w:rFonts w:ascii="Times New Roman" w:hAnsi="Times New Roman"/>
          <w:sz w:val="24"/>
        </w:rPr>
        <w:t xml:space="preserve"> profissionais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Vêm então quatro semanas, núcleo da produção dos dados orais e documentais. Na primeira quinzena, entrevistaremos os profissionais da coordenação pedagógica</w:t>
      </w:r>
      <w:r>
        <w:rPr>
          <w:rFonts w:ascii="Times New Roman" w:hAnsi="Times New Roman"/>
          <w:sz w:val="24"/>
          <w:highlight w:val="yellow"/>
        </w:rPr>
        <w:t xml:space="preserve"> e da direção escolar</w:t>
      </w:r>
      <w:r>
        <w:rPr>
          <w:rFonts w:ascii="Times New Roman" w:hAnsi="Times New Roman"/>
          <w:sz w:val="24"/>
        </w:rPr>
        <w:t xml:space="preserve">, para mapear o quadro institucional que orienta o acompanhamento da política </w:t>
      </w:r>
      <w:r>
        <w:rPr>
          <w:rFonts w:ascii="Times New Roman" w:hAnsi="Times New Roman"/>
          <w:sz w:val="24"/>
          <w:highlight w:val="yellow"/>
        </w:rPr>
        <w:t>na escola</w:t>
      </w:r>
      <w:r>
        <w:rPr>
          <w:rFonts w:ascii="Times New Roman" w:hAnsi="Times New Roman"/>
          <w:sz w:val="24"/>
        </w:rPr>
        <w:t>. Na segunda, faremos as entrevistas individuais com os seis profissionais das turmas de 1º e 2º anos, em ambiente reservado e com gravação em áudio consentida.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highlight w:val="yellow"/>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highlight w:val="yellow"/>
        </w:rPr>
        <w:t>), a amostragem intencional não permite</w:t>
      </w:r>
      <w:r>
        <w:rPr>
          <w:rFonts w:ascii="Times New Roman" w:hAnsi="Times New Roman"/>
          <w:sz w:val="24"/>
        </w:rPr>
        <w:t xml:space="preserve"> generalizar os resultados para a população, </w:t>
      </w:r>
      <w:r>
        <w:rPr>
          <w:rFonts w:ascii="Times New Roman" w:hAnsi="Times New Roman"/>
          <w:sz w:val="24"/>
          <w:highlight w:val="yellow"/>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highlight w:val="yellow"/>
        </w:rPr>
        <w:t>4.6 SÍNTESE DO CAPÍTULO</w:t>
      </w:r>
    </w:p>
    <w:p>
      <w:pPr>
        <w:spacing w:line="360" w:lineRule="auto"/>
        <w:ind w:firstLine="709"/>
        <w:jc w:val="both"/>
      </w:pPr>
      <w:r>
        <w:rPr>
          <w:rFonts w:ascii="Times New Roman" w:hAnsi="Times New Roman"/>
          <w:sz w:val="24"/>
        </w:rPr>
        <w:t xml:space="preserve">Com esse desenho, cada capítulo de análise </w:t>
      </w:r>
      <w:r>
        <w:rPr>
          <w:rFonts w:ascii="Times New Roman" w:hAnsi="Times New Roman"/>
          <w:sz w:val="24"/>
          <w:highlight w:val="yellow"/>
        </w:rPr>
        <w:t>contribui para responder à</w:t>
      </w:r>
      <w:r>
        <w:rPr>
          <w:rFonts w:ascii="Times New Roman" w:hAnsi="Times New Roman"/>
          <w:sz w:val="24"/>
        </w:rPr>
        <w:t xml:space="preserve"> questão norteadora. O Capítulo 5 examina o que a política promete e com que meios. O Capítulo 6 caracteriza as condições de recepção na escola e no território. O Capítulo 7 ouvirá quem trabalha na distância entre uma coisa e outra e dirá, pelos critérios da seção 4.3, se a </w:t>
      </w:r>
      <w:r>
        <w:rPr>
          <w:rFonts w:ascii="Times New Roman" w:hAnsi="Times New Roman"/>
          <w:sz w:val="24"/>
          <w:highlight w:val="yellow"/>
        </w:rPr>
        <w:t>hipótese de ressignificação e resistência se sustenta</w:t>
      </w:r>
      <w:r>
        <w:rPr>
          <w:rFonts w:ascii="Times New Roman" w:hAnsi="Times New Roman"/>
          <w:sz w:val="24"/>
        </w:rPr>
        <w:t xml:space="preserve"> ou se deve ser delimitada, renomeada ou recusada. A recusa também será resultado; deixar a pergunta sem resposta, não. Nas seis turmas de 1º e 2º anos, cento e quarenta crianças aprendem agora a ler e a escrever,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 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highlight w:val="yellow"/>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MAINARDES, Jefferson. Contribuições da perspectiva ético-ontoepistemológica para a pesquisa do campo da política educacional. Arquivos Analíticos de Políticas Educativas, v. 30, n. 146, 2022. DOI: https://doi.org/10.14507/epaa.30.7436. 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highlight w:val="yellow"/>
        </w:rPr>
        <w:t>APÊNDICE B – QUESTIONÁRIO DE PERFIL E PERCEPÇÕES SOBRE A PNED</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Público: Onze profissionais da educação da Escola Municipal Domitila Castelo, em Pipa, Tibau do Sul (RN): seis que atuam nas turmas de 1º e 2º anos do Ensino Fundamental, quatro da coordenação pedagógica e um da direção escolar.</w:t>
      </w:r>
    </w:p>
    <w:p>
      <w:pPr>
        <w:spacing w:line="240" w:lineRule="auto" w:after="40"/>
        <w:jc w:val="left"/>
      </w:pPr>
      <w:r>
        <w:rPr>
          <w:rFonts w:ascii="Times New Roman" w:hAnsi="Times New Roman"/>
          <w:sz w:val="24"/>
          <w:highlight w:val="yellow"/>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highlight w:val="yellow"/>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highlight w:val="yellow"/>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highlight w:val="yellow"/>
        </w:rPr>
        <w:t>BLOCO 1 – PERFIL E TRAJETÓRIA PROFISSIONAL</w:t>
      </w:r>
    </w:p>
    <w:p>
      <w:pPr>
        <w:spacing w:line="240" w:lineRule="auto" w:after="40"/>
        <w:jc w:val="left"/>
      </w:pPr>
      <w:r>
        <w:rPr>
          <w:rFonts w:ascii="Times New Roman" w:hAnsi="Times New Roman"/>
          <w:sz w:val="24"/>
          <w:highlight w:val="yellow"/>
        </w:rPr>
        <w:t>1. Função que exerce na escola:</w:t>
      </w:r>
    </w:p>
    <w:p>
      <w:pPr>
        <w:spacing w:line="240" w:lineRule="auto" w:after="40"/>
        <w:jc w:val="left"/>
      </w:pPr>
      <w:r>
        <w:rPr>
          <w:rFonts w:ascii="Times New Roman" w:hAnsi="Times New Roman"/>
          <w:sz w:val="24"/>
          <w:highlight w:val="yellow"/>
        </w:rPr>
        <w:t>( ) Docência no 1º ou no 2º ano do Ensino Fundamental</w:t>
      </w:r>
    </w:p>
    <w:p>
      <w:pPr>
        <w:spacing w:line="240" w:lineRule="auto" w:after="40"/>
        <w:jc w:val="left"/>
      </w:pPr>
      <w:r>
        <w:rPr>
          <w:rFonts w:ascii="Times New Roman" w:hAnsi="Times New Roman"/>
          <w:sz w:val="24"/>
          <w:highlight w:val="yellow"/>
        </w:rPr>
        <w:t>( ) Coordenação pedagógica</w:t>
      </w:r>
    </w:p>
    <w:p>
      <w:pPr>
        <w:spacing w:line="240" w:lineRule="auto" w:after="40"/>
        <w:jc w:val="left"/>
      </w:pPr>
      <w:r>
        <w:rPr>
          <w:rFonts w:ascii="Times New Roman" w:hAnsi="Times New Roman"/>
          <w:sz w:val="24"/>
          <w:highlight w:val="yellow"/>
        </w:rPr>
        <w:t>( ) Direção</w:t>
      </w:r>
    </w:p>
    <w:p>
      <w:pPr>
        <w:spacing w:line="240" w:lineRule="auto" w:after="40"/>
        <w:jc w:val="left"/>
      </w:pPr>
      <w:r>
        <w:rPr>
          <w:rFonts w:ascii="Times New Roman" w:hAnsi="Times New Roman"/>
          <w:sz w:val="24"/>
          <w:highlight w:val="yellow"/>
        </w:rPr>
        <w:t>( ) Outra: ______________________</w:t>
      </w:r>
    </w:p>
    <w:p>
      <w:pPr>
        <w:spacing w:line="240" w:lineRule="auto" w:after="40"/>
        <w:jc w:val="left"/>
      </w:pPr>
      <w:r>
        <w:rPr>
          <w:rFonts w:ascii="Times New Roman" w:hAnsi="Times New Roman"/>
          <w:sz w:val="24"/>
          <w:highlight w:val="yellow"/>
        </w:rPr>
        <w:t>2. Se atua na docência, em qual ano?</w:t>
      </w:r>
    </w:p>
    <w:p>
      <w:pPr>
        <w:spacing w:line="240" w:lineRule="auto" w:after="40"/>
        <w:jc w:val="left"/>
      </w:pPr>
      <w:r>
        <w:rPr>
          <w:rFonts w:ascii="Times New Roman" w:hAnsi="Times New Roman"/>
          <w:sz w:val="24"/>
          <w:highlight w:val="yellow"/>
        </w:rPr>
        <w:t>( ) 1º ano</w:t>
      </w:r>
    </w:p>
    <w:p>
      <w:pPr>
        <w:spacing w:line="240" w:lineRule="auto" w:after="40"/>
        <w:jc w:val="left"/>
      </w:pPr>
      <w:r>
        <w:rPr>
          <w:rFonts w:ascii="Times New Roman" w:hAnsi="Times New Roman"/>
          <w:sz w:val="24"/>
          <w:highlight w:val="yellow"/>
        </w:rPr>
        <w:t>( ) 2º ano</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 Faixa etária:</w:t>
      </w:r>
    </w:p>
    <w:p>
      <w:pPr>
        <w:spacing w:line="240" w:lineRule="auto" w:after="40"/>
        <w:jc w:val="left"/>
      </w:pPr>
      <w:r>
        <w:rPr>
          <w:rFonts w:ascii="Times New Roman" w:hAnsi="Times New Roman"/>
          <w:sz w:val="24"/>
          <w:highlight w:val="yellow"/>
        </w:rPr>
        <w:t>( ) Até 29 anos</w:t>
      </w:r>
    </w:p>
    <w:p>
      <w:pPr>
        <w:spacing w:line="240" w:lineRule="auto" w:after="40"/>
        <w:jc w:val="left"/>
      </w:pPr>
      <w:r>
        <w:rPr>
          <w:rFonts w:ascii="Times New Roman" w:hAnsi="Times New Roman"/>
          <w:sz w:val="24"/>
          <w:highlight w:val="yellow"/>
        </w:rPr>
        <w:t>( ) 30 a 39 anos</w:t>
      </w:r>
    </w:p>
    <w:p>
      <w:pPr>
        <w:spacing w:line="240" w:lineRule="auto" w:after="40"/>
        <w:jc w:val="left"/>
      </w:pPr>
      <w:r>
        <w:rPr>
          <w:rFonts w:ascii="Times New Roman" w:hAnsi="Times New Roman"/>
          <w:sz w:val="24"/>
          <w:highlight w:val="yellow"/>
        </w:rPr>
        <w:t>( ) 40 a 49 anos</w:t>
      </w:r>
    </w:p>
    <w:p>
      <w:pPr>
        <w:spacing w:line="240" w:lineRule="auto" w:after="40"/>
        <w:jc w:val="left"/>
      </w:pPr>
      <w:r>
        <w:rPr>
          <w:rFonts w:ascii="Times New Roman" w:hAnsi="Times New Roman"/>
          <w:sz w:val="24"/>
          <w:highlight w:val="yellow"/>
        </w:rPr>
        <w:t>( ) 50 a 59 anos</w:t>
      </w:r>
    </w:p>
    <w:p>
      <w:pPr>
        <w:spacing w:line="240" w:lineRule="auto" w:after="40"/>
        <w:jc w:val="left"/>
      </w:pPr>
      <w:r>
        <w:rPr>
          <w:rFonts w:ascii="Times New Roman" w:hAnsi="Times New Roman"/>
          <w:sz w:val="24"/>
          <w:highlight w:val="yellow"/>
        </w:rPr>
        <w:t>( ) 60 anos ou mais</w:t>
      </w:r>
    </w:p>
    <w:p>
      <w:pPr>
        <w:spacing w:line="240" w:lineRule="auto" w:after="40"/>
        <w:jc w:val="left"/>
      </w:pPr>
      <w:r>
        <w:rPr>
          <w:rFonts w:ascii="Times New Roman" w:hAnsi="Times New Roman"/>
          <w:sz w:val="24"/>
          <w:highlight w:val="yellow"/>
        </w:rPr>
        <w:t>4. Identidade de gênero:</w:t>
      </w:r>
    </w:p>
    <w:p>
      <w:pPr>
        <w:spacing w:line="240" w:lineRule="auto" w:after="40"/>
        <w:jc w:val="left"/>
      </w:pPr>
      <w:r>
        <w:rPr>
          <w:rFonts w:ascii="Times New Roman" w:hAnsi="Times New Roman"/>
          <w:sz w:val="24"/>
          <w:highlight w:val="yellow"/>
        </w:rPr>
        <w:t>( ) Mulher</w:t>
      </w:r>
    </w:p>
    <w:p>
      <w:pPr>
        <w:spacing w:line="240" w:lineRule="auto" w:after="40"/>
        <w:jc w:val="left"/>
      </w:pPr>
      <w:r>
        <w:rPr>
          <w:rFonts w:ascii="Times New Roman" w:hAnsi="Times New Roman"/>
          <w:sz w:val="24"/>
          <w:highlight w:val="yellow"/>
        </w:rPr>
        <w:t>( ) Homem</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Prefiro não informar</w:t>
      </w:r>
    </w:p>
    <w:p>
      <w:pPr>
        <w:spacing w:line="240" w:lineRule="auto" w:after="40"/>
        <w:jc w:val="left"/>
      </w:pPr>
      <w:r>
        <w:rPr>
          <w:rFonts w:ascii="Times New Roman" w:hAnsi="Times New Roman"/>
          <w:sz w:val="24"/>
          <w:highlight w:val="yellow"/>
        </w:rPr>
        <w:t>5. Formação em nível superior:</w:t>
      </w:r>
    </w:p>
    <w:p>
      <w:pPr>
        <w:spacing w:line="240" w:lineRule="auto" w:after="40"/>
        <w:jc w:val="left"/>
      </w:pPr>
      <w:r>
        <w:rPr>
          <w:rFonts w:ascii="Times New Roman" w:hAnsi="Times New Roman"/>
          <w:sz w:val="24"/>
          <w:highlight w:val="yellow"/>
        </w:rPr>
        <w:t>( ) Pedagogia</w:t>
      </w:r>
    </w:p>
    <w:p>
      <w:pPr>
        <w:spacing w:line="240" w:lineRule="auto" w:after="40"/>
        <w:jc w:val="left"/>
      </w:pPr>
      <w:r>
        <w:rPr>
          <w:rFonts w:ascii="Times New Roman" w:hAnsi="Times New Roman"/>
          <w:sz w:val="24"/>
          <w:highlight w:val="yellow"/>
        </w:rPr>
        <w:t>( ) Outra licenciatura: ______________</w:t>
      </w:r>
    </w:p>
    <w:p>
      <w:pPr>
        <w:spacing w:line="240" w:lineRule="auto" w:after="40"/>
        <w:jc w:val="left"/>
      </w:pPr>
      <w:r>
        <w:rPr>
          <w:rFonts w:ascii="Times New Roman" w:hAnsi="Times New Roman"/>
          <w:sz w:val="24"/>
          <w:highlight w:val="yellow"/>
        </w:rPr>
        <w:t>( ) Outro curso superior: ______________</w:t>
      </w:r>
    </w:p>
    <w:p>
      <w:pPr>
        <w:spacing w:line="240" w:lineRule="auto" w:after="40"/>
        <w:jc w:val="left"/>
      </w:pPr>
      <w:r>
        <w:rPr>
          <w:rFonts w:ascii="Times New Roman" w:hAnsi="Times New Roman"/>
          <w:sz w:val="24"/>
          <w:highlight w:val="yellow"/>
        </w:rPr>
        <w:t>( ) Não possui curso superior concluído</w:t>
      </w:r>
    </w:p>
    <w:p>
      <w:pPr>
        <w:spacing w:line="240" w:lineRule="auto" w:after="40"/>
        <w:jc w:val="left"/>
      </w:pPr>
      <w:r>
        <w:rPr>
          <w:rFonts w:ascii="Times New Roman" w:hAnsi="Times New Roman"/>
          <w:sz w:val="24"/>
          <w:highlight w:val="yellow"/>
        </w:rPr>
        <w:t>6. Pós-graduação concluída:</w:t>
      </w:r>
    </w:p>
    <w:p>
      <w:pPr>
        <w:spacing w:line="240" w:lineRule="auto" w:after="40"/>
        <w:jc w:val="left"/>
      </w:pPr>
      <w:r>
        <w:rPr>
          <w:rFonts w:ascii="Times New Roman" w:hAnsi="Times New Roman"/>
          <w:sz w:val="24"/>
          <w:highlight w:val="yellow"/>
        </w:rPr>
        <w:t>( ) Nenhuma</w:t>
      </w:r>
    </w:p>
    <w:p>
      <w:pPr>
        <w:spacing w:line="240" w:lineRule="auto" w:after="40"/>
        <w:jc w:val="left"/>
      </w:pPr>
      <w:r>
        <w:rPr>
          <w:rFonts w:ascii="Times New Roman" w:hAnsi="Times New Roman"/>
          <w:sz w:val="24"/>
          <w:highlight w:val="yellow"/>
        </w:rPr>
        <w:t>( ) Especialização</w:t>
      </w:r>
    </w:p>
    <w:p>
      <w:pPr>
        <w:spacing w:line="240" w:lineRule="auto" w:after="40"/>
        <w:jc w:val="left"/>
      </w:pPr>
      <w:r>
        <w:rPr>
          <w:rFonts w:ascii="Times New Roman" w:hAnsi="Times New Roman"/>
          <w:sz w:val="24"/>
          <w:highlight w:val="yellow"/>
        </w:rPr>
        <w:t>( ) Mestrado</w:t>
      </w:r>
    </w:p>
    <w:p>
      <w:pPr>
        <w:spacing w:line="240" w:lineRule="auto" w:after="40"/>
        <w:jc w:val="left"/>
      </w:pPr>
      <w:r>
        <w:rPr>
          <w:rFonts w:ascii="Times New Roman" w:hAnsi="Times New Roman"/>
          <w:sz w:val="24"/>
          <w:highlight w:val="yellow"/>
        </w:rPr>
        <w:t>( ) Doutorado</w:t>
      </w:r>
    </w:p>
    <w:p>
      <w:pPr>
        <w:spacing w:line="240" w:lineRule="auto" w:after="40"/>
        <w:jc w:val="left"/>
      </w:pPr>
      <w:r>
        <w:rPr>
          <w:rFonts w:ascii="Times New Roman" w:hAnsi="Times New Roman"/>
          <w:sz w:val="24"/>
          <w:highlight w:val="yellow"/>
        </w:rPr>
        <w:t>7. Tempo total de atuação na educação:</w:t>
      </w:r>
    </w:p>
    <w:p>
      <w:pPr>
        <w:spacing w:line="240" w:lineRule="auto" w:after="40"/>
        <w:jc w:val="left"/>
      </w:pPr>
      <w:r>
        <w:rPr>
          <w:rFonts w:ascii="Times New Roman" w:hAnsi="Times New Roman"/>
          <w:sz w:val="24"/>
          <w:highlight w:val="yellow"/>
        </w:rPr>
        <w:t>( ) Até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11 a 20 anos</w:t>
      </w:r>
    </w:p>
    <w:p>
      <w:pPr>
        <w:spacing w:line="240" w:lineRule="auto" w:after="40"/>
        <w:jc w:val="left"/>
      </w:pPr>
      <w:r>
        <w:rPr>
          <w:rFonts w:ascii="Times New Roman" w:hAnsi="Times New Roman"/>
          <w:sz w:val="24"/>
          <w:highlight w:val="yellow"/>
        </w:rPr>
        <w:t>( ) Mais de 20 anos</w:t>
      </w:r>
    </w:p>
    <w:p>
      <w:pPr>
        <w:spacing w:line="240" w:lineRule="auto" w:after="40"/>
        <w:jc w:val="left"/>
      </w:pPr>
      <w:r>
        <w:rPr>
          <w:rFonts w:ascii="Times New Roman" w:hAnsi="Times New Roman"/>
          <w:sz w:val="24"/>
          <w:highlight w:val="yellow"/>
        </w:rPr>
        <w:t>8. Tempo de atuação nesta escola:</w:t>
      </w:r>
    </w:p>
    <w:p>
      <w:pPr>
        <w:spacing w:line="240" w:lineRule="auto" w:after="40"/>
        <w:jc w:val="left"/>
      </w:pPr>
      <w:r>
        <w:rPr>
          <w:rFonts w:ascii="Times New Roman" w:hAnsi="Times New Roman"/>
          <w:sz w:val="24"/>
          <w:highlight w:val="yellow"/>
        </w:rPr>
        <w:t>( ) Menos de 1 ano</w:t>
      </w:r>
    </w:p>
    <w:p>
      <w:pPr>
        <w:spacing w:line="240" w:lineRule="auto" w:after="40"/>
        <w:jc w:val="left"/>
      </w:pPr>
      <w:r>
        <w:rPr>
          <w:rFonts w:ascii="Times New Roman" w:hAnsi="Times New Roman"/>
          <w:sz w:val="24"/>
          <w:highlight w:val="yellow"/>
        </w:rPr>
        <w:t>( ) 1 a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Mais de 10 anos</w:t>
      </w:r>
    </w:p>
    <w:p>
      <w:pPr>
        <w:spacing w:line="240" w:lineRule="auto" w:after="40"/>
        <w:jc w:val="left"/>
      </w:pPr>
      <w:r>
        <w:rPr>
          <w:rFonts w:ascii="Times New Roman" w:hAnsi="Times New Roman"/>
          <w:sz w:val="24"/>
          <w:highlight w:val="yellow"/>
        </w:rPr>
        <w:t>9. Vínculo funcional com o município de Tibau do Sul:</w:t>
      </w:r>
    </w:p>
    <w:p>
      <w:pPr>
        <w:spacing w:line="240" w:lineRule="auto" w:after="40"/>
        <w:jc w:val="left"/>
      </w:pPr>
      <w:r>
        <w:rPr>
          <w:rFonts w:ascii="Times New Roman" w:hAnsi="Times New Roman"/>
          <w:sz w:val="24"/>
          <w:highlight w:val="yellow"/>
        </w:rPr>
        <w:t>( ) Efetivo (concursado)</w:t>
      </w:r>
    </w:p>
    <w:p>
      <w:pPr>
        <w:spacing w:line="240" w:lineRule="auto" w:after="40"/>
        <w:jc w:val="left"/>
      </w:pPr>
      <w:r>
        <w:rPr>
          <w:rFonts w:ascii="Times New Roman" w:hAnsi="Times New Roman"/>
          <w:sz w:val="24"/>
          <w:highlight w:val="yellow"/>
        </w:rPr>
        <w:t>( ) Contrato temporário</w:t>
      </w:r>
    </w:p>
    <w:p>
      <w:pPr>
        <w:spacing w:line="240" w:lineRule="auto" w:after="40"/>
        <w:jc w:val="left"/>
      </w:pPr>
      <w:r>
        <w:rPr>
          <w:rFonts w:ascii="Times New Roman" w:hAnsi="Times New Roman"/>
          <w:sz w:val="24"/>
          <w:highlight w:val="yellow"/>
        </w:rPr>
        <w:t>( ) Cargo comissionado</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10. Atua em outra instituição de ensino?</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11. Qual é a sua relação com o território de Pipa?</w:t>
      </w:r>
    </w:p>
    <w:p>
      <w:pPr>
        <w:spacing w:line="240" w:lineRule="auto" w:after="40"/>
        <w:jc w:val="left"/>
      </w:pPr>
      <w:r>
        <w:rPr>
          <w:rFonts w:ascii="Times New Roman" w:hAnsi="Times New Roman"/>
          <w:sz w:val="24"/>
          <w:highlight w:val="yellow"/>
        </w:rPr>
        <w:t>( ) Nasci e moro em Pipa</w:t>
      </w:r>
    </w:p>
    <w:p>
      <w:pPr>
        <w:spacing w:line="240" w:lineRule="auto" w:after="40"/>
        <w:jc w:val="left"/>
      </w:pPr>
      <w:r>
        <w:rPr>
          <w:rFonts w:ascii="Times New Roman" w:hAnsi="Times New Roman"/>
          <w:sz w:val="24"/>
          <w:highlight w:val="yellow"/>
        </w:rPr>
        <w:t>( ) Moro em Pipa, mas vim de outro lugar</w:t>
      </w:r>
    </w:p>
    <w:p>
      <w:pPr>
        <w:spacing w:line="240" w:lineRule="auto" w:after="40"/>
        <w:jc w:val="left"/>
      </w:pPr>
      <w:r>
        <w:rPr>
          <w:rFonts w:ascii="Times New Roman" w:hAnsi="Times New Roman"/>
          <w:sz w:val="24"/>
          <w:highlight w:val="yellow"/>
        </w:rPr>
        <w:t>( ) Moro em outro distrito ou município e me desloco para trabalhar</w:t>
      </w:r>
    </w:p>
    <w:p>
      <w:pPr>
        <w:spacing w:line="240" w:lineRule="auto" w:after="40"/>
        <w:jc w:val="left"/>
      </w:pPr>
      <w:r>
        <w:rPr>
          <w:rFonts w:ascii="Times New Roman" w:hAnsi="Times New Roman"/>
          <w:sz w:val="24"/>
          <w:highlight w:val="yellow"/>
        </w:rPr>
        <w:t>( ) Outra: ______________</w:t>
      </w:r>
    </w:p>
    <w:p>
      <w:pPr>
        <w:spacing w:line="360" w:lineRule="auto" w:before="240" w:after="240"/>
      </w:pPr>
      <w:r>
        <w:rPr>
          <w:rFonts w:ascii="Times New Roman" w:hAnsi="Times New Roman"/>
          <w:b/>
          <w:sz w:val="24"/>
          <w:highlight w:val="yellow"/>
        </w:rPr>
        <w:t>BLOCO 2 – FORMAÇÃO E RELAÇÃO COM AS TECNOLOGIAS DIGITAIS</w:t>
      </w:r>
    </w:p>
    <w:p>
      <w:pPr>
        <w:spacing w:line="240" w:lineRule="auto" w:after="40"/>
        <w:jc w:val="left"/>
      </w:pPr>
      <w:r>
        <w:rPr>
          <w:rFonts w:ascii="Times New Roman" w:hAnsi="Times New Roman"/>
          <w:sz w:val="24"/>
          <w:highlight w:val="yellow"/>
        </w:rPr>
        <w:t>12. Sua formação inicial abordou o uso pedagógico das tecnologias digitais?</w:t>
      </w:r>
    </w:p>
    <w:p>
      <w:pPr>
        <w:spacing w:line="240" w:lineRule="auto" w:after="40"/>
        <w:jc w:val="left"/>
      </w:pPr>
      <w:r>
        <w:rPr>
          <w:rFonts w:ascii="Times New Roman" w:hAnsi="Times New Roman"/>
          <w:sz w:val="24"/>
          <w:highlight w:val="yellow"/>
        </w:rPr>
        <w:t>( ) Sim, com disciplinas ou módulos específicos</w:t>
      </w:r>
    </w:p>
    <w:p>
      <w:pPr>
        <w:spacing w:line="240" w:lineRule="auto" w:after="40"/>
        <w:jc w:val="left"/>
      </w:pPr>
      <w:r>
        <w:rPr>
          <w:rFonts w:ascii="Times New Roman" w:hAnsi="Times New Roman"/>
          <w:sz w:val="24"/>
          <w:highlight w:val="yellow"/>
        </w:rPr>
        <w:t>( ) De forma indireta ou superficial</w:t>
      </w:r>
    </w:p>
    <w:p>
      <w:pPr>
        <w:spacing w:line="240" w:lineRule="auto" w:after="40"/>
        <w:jc w:val="left"/>
      </w:pPr>
      <w:r>
        <w:rPr>
          <w:rFonts w:ascii="Times New Roman" w:hAnsi="Times New Roman"/>
          <w:sz w:val="24"/>
          <w:highlight w:val="yellow"/>
        </w:rPr>
        <w:t>( ) Não abordou</w:t>
      </w:r>
    </w:p>
    <w:p>
      <w:pPr>
        <w:spacing w:line="240" w:lineRule="auto" w:after="40"/>
        <w:jc w:val="left"/>
      </w:pPr>
      <w:r>
        <w:rPr>
          <w:rFonts w:ascii="Times New Roman" w:hAnsi="Times New Roman"/>
          <w:sz w:val="24"/>
          <w:highlight w:val="yellow"/>
        </w:rPr>
        <w:t>13. Em que ano você participou pela primeira vez de uma formação continuada voltada à educação digital?</w:t>
      </w:r>
    </w:p>
    <w:p>
      <w:pPr>
        <w:spacing w:line="240" w:lineRule="auto" w:after="40"/>
        <w:jc w:val="left"/>
      </w:pPr>
      <w:r>
        <w:rPr>
          <w:rFonts w:ascii="Times New Roman" w:hAnsi="Times New Roman"/>
          <w:sz w:val="24"/>
          <w:highlight w:val="yellow"/>
        </w:rPr>
        <w:t>( ) Antes de 2023</w:t>
      </w:r>
    </w:p>
    <w:p>
      <w:pPr>
        <w:spacing w:line="240" w:lineRule="auto" w:after="40"/>
        <w:jc w:val="left"/>
      </w:pPr>
      <w:r>
        <w:rPr>
          <w:rFonts w:ascii="Times New Roman" w:hAnsi="Times New Roman"/>
          <w:sz w:val="24"/>
          <w:highlight w:val="yellow"/>
        </w:rPr>
        <w:t>( ) Em 2023</w:t>
      </w:r>
    </w:p>
    <w:p>
      <w:pPr>
        <w:spacing w:line="240" w:lineRule="auto" w:after="40"/>
        <w:jc w:val="left"/>
      </w:pPr>
      <w:r>
        <w:rPr>
          <w:rFonts w:ascii="Times New Roman" w:hAnsi="Times New Roman"/>
          <w:sz w:val="24"/>
          <w:highlight w:val="yellow"/>
        </w:rPr>
        <w:t>( ) Em 2024</w:t>
      </w:r>
    </w:p>
    <w:p>
      <w:pPr>
        <w:spacing w:line="240" w:lineRule="auto" w:after="40"/>
        <w:jc w:val="left"/>
      </w:pPr>
      <w:r>
        <w:rPr>
          <w:rFonts w:ascii="Times New Roman" w:hAnsi="Times New Roman"/>
          <w:sz w:val="24"/>
          <w:highlight w:val="yellow"/>
        </w:rPr>
        <w:t>( ) Em 2025</w:t>
      </w:r>
    </w:p>
    <w:p>
      <w:pPr>
        <w:spacing w:line="240" w:lineRule="auto" w:after="40"/>
        <w:jc w:val="left"/>
      </w:pPr>
      <w:r>
        <w:rPr>
          <w:rFonts w:ascii="Times New Roman" w:hAnsi="Times New Roman"/>
          <w:sz w:val="24"/>
          <w:highlight w:val="yellow"/>
        </w:rPr>
        <w:t>( ) Em 2026</w:t>
      </w:r>
    </w:p>
    <w:p>
      <w:pPr>
        <w:spacing w:line="240" w:lineRule="auto" w:after="40"/>
        <w:jc w:val="left"/>
      </w:pPr>
      <w:r>
        <w:rPr>
          <w:rFonts w:ascii="Times New Roman" w:hAnsi="Times New Roman"/>
          <w:sz w:val="24"/>
          <w:highlight w:val="yellow"/>
        </w:rPr>
        <w:t>( ) Não participei de formação com esse foco</w:t>
      </w:r>
    </w:p>
    <w:p>
      <w:pPr>
        <w:spacing w:line="240" w:lineRule="auto" w:after="40"/>
        <w:jc w:val="left"/>
      </w:pPr>
      <w:r>
        <w:rPr>
          <w:rFonts w:ascii="Times New Roman" w:hAnsi="Times New Roman"/>
          <w:sz w:val="24"/>
          <w:highlight w:val="yellow"/>
        </w:rPr>
        <w:t>14. Quem ofertou essa formação? (Pode assinalar mais de uma)</w:t>
      </w:r>
    </w:p>
    <w:p>
      <w:pPr>
        <w:spacing w:line="240" w:lineRule="auto" w:after="40"/>
        <w:jc w:val="left"/>
      </w:pPr>
      <w:r>
        <w:rPr>
          <w:rFonts w:ascii="Times New Roman" w:hAnsi="Times New Roman"/>
          <w:sz w:val="24"/>
          <w:highlight w:val="yellow"/>
        </w:rPr>
        <w:t>[ ] Secretaria Municipal de Educação de Tibau do Sul</w:t>
      </w:r>
    </w:p>
    <w:p>
      <w:pPr>
        <w:spacing w:line="240" w:lineRule="auto" w:after="40"/>
        <w:jc w:val="left"/>
      </w:pPr>
      <w:r>
        <w:rPr>
          <w:rFonts w:ascii="Times New Roman" w:hAnsi="Times New Roman"/>
          <w:sz w:val="24"/>
          <w:highlight w:val="yellow"/>
        </w:rPr>
        <w:t>[ ] A própria escola</w:t>
      </w:r>
    </w:p>
    <w:p>
      <w:pPr>
        <w:spacing w:line="240" w:lineRule="auto" w:after="40"/>
        <w:jc w:val="left"/>
      </w:pPr>
      <w:r>
        <w:rPr>
          <w:rFonts w:ascii="Times New Roman" w:hAnsi="Times New Roman"/>
          <w:sz w:val="24"/>
          <w:highlight w:val="yellow"/>
        </w:rPr>
        <w:t>[ ] MEC ou plataformas federais</w:t>
      </w:r>
    </w:p>
    <w:p>
      <w:pPr>
        <w:spacing w:line="240" w:lineRule="auto" w:after="40"/>
        <w:jc w:val="left"/>
      </w:pPr>
      <w:r>
        <w:rPr>
          <w:rFonts w:ascii="Times New Roman" w:hAnsi="Times New Roman"/>
          <w:sz w:val="24"/>
          <w:highlight w:val="yellow"/>
        </w:rPr>
        <w:t>[ ] Universidade ou instituição de ensino superior</w:t>
      </w:r>
    </w:p>
    <w:p>
      <w:pPr>
        <w:spacing w:line="240" w:lineRule="auto" w:after="40"/>
        <w:jc w:val="left"/>
      </w:pPr>
      <w:r>
        <w:rPr>
          <w:rFonts w:ascii="Times New Roman" w:hAnsi="Times New Roman"/>
          <w:sz w:val="24"/>
          <w:highlight w:val="yellow"/>
        </w:rPr>
        <w:t>[ ] Iniciativa própria (cursos online, entidades)</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15. Que conteúdos a formação abordou? (Pode assinalar mais de uma)</w:t>
      </w:r>
    </w:p>
    <w:p>
      <w:pPr>
        <w:spacing w:line="240" w:lineRule="auto" w:after="40"/>
        <w:jc w:val="left"/>
      </w:pPr>
      <w:r>
        <w:rPr>
          <w:rFonts w:ascii="Times New Roman" w:hAnsi="Times New Roman"/>
          <w:sz w:val="24"/>
          <w:highlight w:val="yellow"/>
        </w:rPr>
        <w:t>[ ] Pensamento computacional</w:t>
      </w:r>
    </w:p>
    <w:p>
      <w:pPr>
        <w:spacing w:line="240" w:lineRule="auto" w:after="40"/>
        <w:jc w:val="left"/>
      </w:pPr>
      <w:r>
        <w:rPr>
          <w:rFonts w:ascii="Times New Roman" w:hAnsi="Times New Roman"/>
          <w:sz w:val="24"/>
          <w:highlight w:val="yellow"/>
        </w:rPr>
        <w:t>[ ] Mundo digital (dispositivos, internet e seu funcionamento)</w:t>
      </w:r>
    </w:p>
    <w:p>
      <w:pPr>
        <w:spacing w:line="240" w:lineRule="auto" w:after="40"/>
        <w:jc w:val="left"/>
      </w:pPr>
      <w:r>
        <w:rPr>
          <w:rFonts w:ascii="Times New Roman" w:hAnsi="Times New Roman"/>
          <w:sz w:val="24"/>
          <w:highlight w:val="yellow"/>
        </w:rPr>
        <w:t>[ ] Cultura digital</w:t>
      </w:r>
    </w:p>
    <w:p>
      <w:pPr>
        <w:spacing w:line="240" w:lineRule="auto" w:after="40"/>
        <w:jc w:val="left"/>
      </w:pPr>
      <w:r>
        <w:rPr>
          <w:rFonts w:ascii="Times New Roman" w:hAnsi="Times New Roman"/>
          <w:sz w:val="24"/>
          <w:highlight w:val="yellow"/>
        </w:rPr>
        <w:t>[ ] Direitos digitais e proteção de dados</w:t>
      </w:r>
    </w:p>
    <w:p>
      <w:pPr>
        <w:spacing w:line="240" w:lineRule="auto" w:after="40"/>
        <w:jc w:val="left"/>
      </w:pPr>
      <w:r>
        <w:rPr>
          <w:rFonts w:ascii="Times New Roman" w:hAnsi="Times New Roman"/>
          <w:sz w:val="24"/>
          <w:highlight w:val="yellow"/>
        </w:rPr>
        <w:t>[ ] Uso de ferramentas e aplicativos</w:t>
      </w:r>
    </w:p>
    <w:p>
      <w:pPr>
        <w:spacing w:line="240" w:lineRule="auto" w:after="40"/>
        <w:jc w:val="left"/>
      </w:pPr>
      <w:r>
        <w:rPr>
          <w:rFonts w:ascii="Times New Roman" w:hAnsi="Times New Roman"/>
          <w:sz w:val="24"/>
          <w:highlight w:val="yellow"/>
        </w:rPr>
        <w:t>[ ] Tecnologia assistiva</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16. Como você avalia a relação entre essas formações e as condições reais da escola?</w:t>
      </w:r>
    </w:p>
    <w:p>
      <w:pPr>
        <w:spacing w:line="240" w:lineRule="auto" w:after="40"/>
        <w:jc w:val="left"/>
      </w:pPr>
      <w:r>
        <w:rPr>
          <w:rFonts w:ascii="Times New Roman" w:hAnsi="Times New Roman"/>
          <w:sz w:val="24"/>
          <w:highlight w:val="yellow"/>
        </w:rPr>
        <w:t>( ) Muito próxima da realidade da escola</w:t>
      </w:r>
    </w:p>
    <w:p>
      <w:pPr>
        <w:spacing w:line="240" w:lineRule="auto" w:after="40"/>
        <w:jc w:val="left"/>
      </w:pPr>
      <w:r>
        <w:rPr>
          <w:rFonts w:ascii="Times New Roman" w:hAnsi="Times New Roman"/>
          <w:sz w:val="24"/>
          <w:highlight w:val="yellow"/>
        </w:rPr>
        <w:t>( ) Parcial, com pouca relação com as condições da escola</w:t>
      </w:r>
    </w:p>
    <w:p>
      <w:pPr>
        <w:spacing w:line="240" w:lineRule="auto" w:after="40"/>
        <w:jc w:val="left"/>
      </w:pPr>
      <w:r>
        <w:rPr>
          <w:rFonts w:ascii="Times New Roman" w:hAnsi="Times New Roman"/>
          <w:sz w:val="24"/>
          <w:highlight w:val="yellow"/>
        </w:rPr>
        <w:t>( ) Distante, com foco predominantemente teórico ou técnico</w:t>
      </w:r>
    </w:p>
    <w:p>
      <w:pPr>
        <w:spacing w:line="240" w:lineRule="auto" w:after="40"/>
        <w:jc w:val="left"/>
      </w:pPr>
      <w:r>
        <w:rPr>
          <w:rFonts w:ascii="Times New Roman" w:hAnsi="Times New Roman"/>
          <w:sz w:val="24"/>
          <w:highlight w:val="yellow"/>
        </w:rPr>
        <w:t>( ) Não participei de formações</w:t>
      </w:r>
    </w:p>
    <w:p>
      <w:pPr>
        <w:spacing w:line="240" w:lineRule="auto" w:after="40"/>
        <w:jc w:val="left"/>
      </w:pPr>
      <w:r>
        <w:rPr>
          <w:rFonts w:ascii="Times New Roman" w:hAnsi="Times New Roman"/>
          <w:sz w:val="24"/>
          <w:highlight w:val="yellow"/>
        </w:rPr>
        <w:t>17. Com que frequência você usa tecnologias digitais na sua vida pessoal (comunicação, informação, lazer)?</w:t>
      </w:r>
    </w:p>
    <w:p>
      <w:pPr>
        <w:spacing w:line="240" w:lineRule="auto" w:after="40"/>
        <w:jc w:val="left"/>
      </w:pPr>
      <w:r>
        <w:rPr>
          <w:rFonts w:ascii="Times New Roman" w:hAnsi="Times New Roman"/>
          <w:sz w:val="24"/>
          <w:highlight w:val="yellow"/>
        </w:rPr>
        <w:t>( ) Diariamente</w:t>
      </w:r>
    </w:p>
    <w:p>
      <w:pPr>
        <w:spacing w:line="240" w:lineRule="auto" w:after="40"/>
        <w:jc w:val="left"/>
      </w:pPr>
      <w:r>
        <w:rPr>
          <w:rFonts w:ascii="Times New Roman" w:hAnsi="Times New Roman"/>
          <w:sz w:val="24"/>
          <w:highlight w:val="yellow"/>
        </w:rPr>
        <w:t>( ) Algumas vezes por semana</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18. Como você avalia sua segurança para usar recursos digitais no trabalho?</w:t>
      </w:r>
    </w:p>
    <w:p>
      <w:pPr>
        <w:spacing w:line="240" w:lineRule="auto" w:after="40"/>
        <w:jc w:val="left"/>
      </w:pPr>
      <w:r>
        <w:rPr>
          <w:rFonts w:ascii="Times New Roman" w:hAnsi="Times New Roman"/>
          <w:sz w:val="24"/>
          <w:highlight w:val="yellow"/>
        </w:rPr>
        <w:t>( ) Alta</w:t>
      </w:r>
    </w:p>
    <w:p>
      <w:pPr>
        <w:spacing w:line="240" w:lineRule="auto" w:after="40"/>
        <w:jc w:val="left"/>
      </w:pPr>
      <w:r>
        <w:rPr>
          <w:rFonts w:ascii="Times New Roman" w:hAnsi="Times New Roman"/>
          <w:sz w:val="24"/>
          <w:highlight w:val="yellow"/>
        </w:rPr>
        <w:t>( ) Média</w:t>
      </w:r>
    </w:p>
    <w:p>
      <w:pPr>
        <w:spacing w:line="240" w:lineRule="auto" w:after="40"/>
        <w:jc w:val="left"/>
      </w:pPr>
      <w:r>
        <w:rPr>
          <w:rFonts w:ascii="Times New Roman" w:hAnsi="Times New Roman"/>
          <w:sz w:val="24"/>
          <w:highlight w:val="yellow"/>
        </w:rPr>
        <w:t>( ) Baixa</w:t>
      </w:r>
    </w:p>
    <w:p>
      <w:pPr>
        <w:spacing w:line="240" w:lineRule="auto" w:after="40"/>
        <w:jc w:val="left"/>
      </w:pPr>
      <w:r>
        <w:rPr>
          <w:rFonts w:ascii="Times New Roman" w:hAnsi="Times New Roman"/>
          <w:sz w:val="24"/>
          <w:highlight w:val="yellow"/>
        </w:rPr>
        <w:t>( ) Muito baixa</w:t>
      </w:r>
    </w:p>
    <w:p>
      <w:pPr>
        <w:spacing w:line="360" w:lineRule="auto" w:before="240" w:after="240"/>
      </w:pPr>
      <w:r>
        <w:rPr>
          <w:rFonts w:ascii="Times New Roman" w:hAnsi="Times New Roman"/>
          <w:b/>
          <w:sz w:val="24"/>
          <w:highlight w:val="yellow"/>
        </w:rPr>
        <w:t>BLOCO 3 – CONDIÇÕES MATERIAIS DE TRABALHO E TERRITÓRIO</w:t>
      </w:r>
    </w:p>
    <w:p>
      <w:pPr>
        <w:spacing w:line="240" w:lineRule="auto" w:after="40"/>
        <w:jc w:val="left"/>
      </w:pPr>
      <w:r>
        <w:rPr>
          <w:rFonts w:ascii="Times New Roman" w:hAnsi="Times New Roman"/>
          <w:sz w:val="24"/>
          <w:highlight w:val="yellow"/>
        </w:rPr>
        <w:t>19. Com que frequência o laboratório de informática é usado em atividades ligadas à sua função?</w:t>
      </w:r>
    </w:p>
    <w:p>
      <w:pPr>
        <w:spacing w:line="240" w:lineRule="auto" w:after="40"/>
        <w:jc w:val="left"/>
      </w:pPr>
      <w:r>
        <w:rPr>
          <w:rFonts w:ascii="Times New Roman" w:hAnsi="Times New Roman"/>
          <w:sz w:val="24"/>
          <w:highlight w:val="yellow"/>
        </w:rPr>
        <w:t>( ) Ao menos uma vez por semana</w:t>
      </w:r>
    </w:p>
    <w:p>
      <w:pPr>
        <w:spacing w:line="240" w:lineRule="auto" w:after="40"/>
        <w:jc w:val="left"/>
      </w:pPr>
      <w:r>
        <w:rPr>
          <w:rFonts w:ascii="Times New Roman" w:hAnsi="Times New Roman"/>
          <w:sz w:val="24"/>
          <w:highlight w:val="yellow"/>
        </w:rPr>
        <w:t>( ) Uma ou duas vezes por mês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 ) A escola não dispõe de laboratório em funcionamento</w:t>
      </w:r>
    </w:p>
    <w:p>
      <w:pPr>
        <w:spacing w:line="240" w:lineRule="auto" w:after="40"/>
        <w:jc w:val="left"/>
      </w:pPr>
      <w:r>
        <w:rPr>
          <w:rFonts w:ascii="Times New Roman" w:hAnsi="Times New Roman"/>
          <w:sz w:val="24"/>
          <w:highlight w:val="yellow"/>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highlight w:val="yellow"/>
        </w:rPr>
        <w:t>( ) Sempre</w:t>
      </w:r>
    </w:p>
    <w:p>
      <w:pPr>
        <w:spacing w:line="240" w:lineRule="auto" w:after="40"/>
        <w:jc w:val="left"/>
      </w:pPr>
      <w:r>
        <w:rPr>
          <w:rFonts w:ascii="Times New Roman" w:hAnsi="Times New Roman"/>
          <w:sz w:val="24"/>
          <w:highlight w:val="yellow"/>
        </w:rPr>
        <w:t>( ) Com frequência, mediante agendamento</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Não estão disponíveis</w:t>
      </w:r>
    </w:p>
    <w:p>
      <w:pPr>
        <w:spacing w:line="240" w:lineRule="auto" w:after="40"/>
        <w:jc w:val="left"/>
      </w:pPr>
      <w:r>
        <w:rPr>
          <w:rFonts w:ascii="Times New Roman" w:hAnsi="Times New Roman"/>
          <w:sz w:val="24"/>
          <w:highlight w:val="yellow"/>
        </w:rPr>
        <w:t>21. Como é a conexão de internet nos espaços em que você trabalha com as crianças?</w:t>
      </w:r>
    </w:p>
    <w:p>
      <w:pPr>
        <w:spacing w:line="240" w:lineRule="auto" w:after="40"/>
        <w:jc w:val="left"/>
      </w:pPr>
      <w:r>
        <w:rPr>
          <w:rFonts w:ascii="Times New Roman" w:hAnsi="Times New Roman"/>
          <w:sz w:val="24"/>
          <w:highlight w:val="yellow"/>
        </w:rPr>
        <w:t>( ) Estável e suficiente</w:t>
      </w:r>
    </w:p>
    <w:p>
      <w:pPr>
        <w:spacing w:line="240" w:lineRule="auto" w:after="40"/>
        <w:jc w:val="left"/>
      </w:pPr>
      <w:r>
        <w:rPr>
          <w:rFonts w:ascii="Times New Roman" w:hAnsi="Times New Roman"/>
          <w:sz w:val="24"/>
          <w:highlight w:val="yellow"/>
        </w:rPr>
        <w:t>( ) Oscila ou não alcança todos os ambientes</w:t>
      </w:r>
    </w:p>
    <w:p>
      <w:pPr>
        <w:spacing w:line="240" w:lineRule="auto" w:after="40"/>
        <w:jc w:val="left"/>
      </w:pPr>
      <w:r>
        <w:rPr>
          <w:rFonts w:ascii="Times New Roman" w:hAnsi="Times New Roman"/>
          <w:sz w:val="24"/>
          <w:highlight w:val="yellow"/>
        </w:rPr>
        <w:t>( ) Atende principalmente à parte administrativa</w:t>
      </w:r>
    </w:p>
    <w:p>
      <w:pPr>
        <w:spacing w:line="240" w:lineRule="auto" w:after="40"/>
        <w:jc w:val="left"/>
      </w:pPr>
      <w:r>
        <w:rPr>
          <w:rFonts w:ascii="Times New Roman" w:hAnsi="Times New Roman"/>
          <w:sz w:val="24"/>
          <w:highlight w:val="yellow"/>
        </w:rPr>
        <w:t>( ) Não há conexão nas salas de aula</w:t>
      </w:r>
    </w:p>
    <w:p>
      <w:pPr>
        <w:spacing w:line="240" w:lineRule="auto" w:after="40"/>
        <w:jc w:val="left"/>
      </w:pPr>
      <w:r>
        <w:rPr>
          <w:rFonts w:ascii="Times New Roman" w:hAnsi="Times New Roman"/>
          <w:sz w:val="24"/>
          <w:highlight w:val="yellow"/>
        </w:rPr>
        <w:t>22. A escola ou a Secretaria oferece suporte técnico para a manutenção dos equipamentos?</w:t>
      </w:r>
    </w:p>
    <w:p>
      <w:pPr>
        <w:spacing w:line="240" w:lineRule="auto" w:after="40"/>
        <w:jc w:val="left"/>
      </w:pPr>
      <w:r>
        <w:rPr>
          <w:rFonts w:ascii="Times New Roman" w:hAnsi="Times New Roman"/>
          <w:sz w:val="24"/>
          <w:highlight w:val="yellow"/>
        </w:rPr>
        <w:t>( ) Sim, contínuo e acessível</w:t>
      </w:r>
    </w:p>
    <w:p>
      <w:pPr>
        <w:spacing w:line="240" w:lineRule="auto" w:after="40"/>
        <w:jc w:val="left"/>
      </w:pPr>
      <w:r>
        <w:rPr>
          <w:rFonts w:ascii="Times New Roman" w:hAnsi="Times New Roman"/>
          <w:sz w:val="24"/>
          <w:highlight w:val="yellow"/>
        </w:rPr>
        <w:t>( ) Esporádico ou demorado</w:t>
      </w:r>
    </w:p>
    <w:p>
      <w:pPr>
        <w:spacing w:line="240" w:lineRule="auto" w:after="40"/>
        <w:jc w:val="left"/>
      </w:pPr>
      <w:r>
        <w:rPr>
          <w:rFonts w:ascii="Times New Roman" w:hAnsi="Times New Roman"/>
          <w:sz w:val="24"/>
          <w:highlight w:val="yellow"/>
        </w:rPr>
        <w:t>( ) Não há suporte técnico</w:t>
      </w:r>
    </w:p>
    <w:p>
      <w:pPr>
        <w:spacing w:line="240" w:lineRule="auto" w:after="40"/>
        <w:jc w:val="left"/>
      </w:pPr>
      <w:r>
        <w:rPr>
          <w:rFonts w:ascii="Times New Roman" w:hAnsi="Times New Roman"/>
          <w:sz w:val="24"/>
          <w:highlight w:val="yellow"/>
        </w:rPr>
        <w:t>23. Sua jornada inclui tempo de planejamento suficiente para preparar atividades com recursos digitais?</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24. Com que frequência você prepara, fora do horário de trabalho, atividades ou registros ligados à educação digital?</w:t>
      </w:r>
    </w:p>
    <w:p>
      <w:pPr>
        <w:spacing w:line="240" w:lineRule="auto" w:after="40"/>
        <w:jc w:val="left"/>
      </w:pPr>
      <w:r>
        <w:rPr>
          <w:rFonts w:ascii="Times New Roman" w:hAnsi="Times New Roman"/>
          <w:sz w:val="24"/>
          <w:highlight w:val="yellow"/>
        </w:rPr>
        <w:t>( ) Frequentemente</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26. Se respondeu sim ou parcialmente, de que modo essa influência aparece no cotidiano da escola?</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360" w:lineRule="auto" w:before="240" w:after="240"/>
      </w:pPr>
      <w:r>
        <w:rPr>
          <w:rFonts w:ascii="Times New Roman" w:hAnsi="Times New Roman"/>
          <w:b/>
          <w:sz w:val="24"/>
          <w:highlight w:val="yellow"/>
        </w:rPr>
        <w:t>BLOCO 4 – A PNED NA ESCOLA E AS EXIGÊNCIAS DE REGISTRO E RESULTADO</w:t>
      </w:r>
    </w:p>
    <w:p>
      <w:pPr>
        <w:spacing w:line="240" w:lineRule="auto" w:after="40"/>
        <w:jc w:val="left"/>
      </w:pPr>
      <w:r>
        <w:rPr>
          <w:rFonts w:ascii="Times New Roman" w:hAnsi="Times New Roman"/>
          <w:sz w:val="24"/>
          <w:highlight w:val="yellow"/>
        </w:rPr>
        <w:t>27. Você conhece a Política Nacional de Educação Digital (Lei nº 14.533/2023)?</w:t>
      </w:r>
    </w:p>
    <w:p>
      <w:pPr>
        <w:spacing w:line="240" w:lineRule="auto" w:after="40"/>
        <w:jc w:val="left"/>
      </w:pPr>
      <w:r>
        <w:rPr>
          <w:rFonts w:ascii="Times New Roman" w:hAnsi="Times New Roman"/>
          <w:sz w:val="24"/>
          <w:highlight w:val="yellow"/>
        </w:rPr>
        <w:t>( ) Conheço o texto ou seus eixos</w:t>
      </w:r>
    </w:p>
    <w:p>
      <w:pPr>
        <w:spacing w:line="240" w:lineRule="auto" w:after="40"/>
        <w:jc w:val="left"/>
      </w:pPr>
      <w:r>
        <w:rPr>
          <w:rFonts w:ascii="Times New Roman" w:hAnsi="Times New Roman"/>
          <w:sz w:val="24"/>
          <w:highlight w:val="yellow"/>
        </w:rPr>
        <w:t>( ) Já ouvi falar, mas não conheço o conteúdo</w:t>
      </w:r>
    </w:p>
    <w:p>
      <w:pPr>
        <w:spacing w:line="240" w:lineRule="auto" w:after="40"/>
        <w:jc w:val="left"/>
      </w:pPr>
      <w:r>
        <w:rPr>
          <w:rFonts w:ascii="Times New Roman" w:hAnsi="Times New Roman"/>
          <w:sz w:val="24"/>
          <w:highlight w:val="yellow"/>
        </w:rPr>
        <w:t>( ) Não conheço</w:t>
      </w:r>
    </w:p>
    <w:p>
      <w:pPr>
        <w:spacing w:line="240" w:lineRule="auto" w:after="40"/>
        <w:jc w:val="left"/>
      </w:pPr>
      <w:r>
        <w:rPr>
          <w:rFonts w:ascii="Times New Roman" w:hAnsi="Times New Roman"/>
          <w:sz w:val="24"/>
          <w:highlight w:val="yellow"/>
        </w:rPr>
        <w:t>28. Por qual meio a PNED chegou até você? (Pode assinalar mais de uma)</w:t>
      </w:r>
    </w:p>
    <w:p>
      <w:pPr>
        <w:spacing w:line="240" w:lineRule="auto" w:after="40"/>
        <w:jc w:val="left"/>
      </w:pPr>
      <w:r>
        <w:rPr>
          <w:rFonts w:ascii="Times New Roman" w:hAnsi="Times New Roman"/>
          <w:sz w:val="24"/>
          <w:highlight w:val="yellow"/>
        </w:rPr>
        <w:t>[ ] Orientações ou documentos da escola</w:t>
      </w:r>
    </w:p>
    <w:p>
      <w:pPr>
        <w:spacing w:line="240" w:lineRule="auto" w:after="40"/>
        <w:jc w:val="left"/>
      </w:pPr>
      <w:r>
        <w:rPr>
          <w:rFonts w:ascii="Times New Roman" w:hAnsi="Times New Roman"/>
          <w:sz w:val="24"/>
          <w:highlight w:val="yellow"/>
        </w:rPr>
        <w:t>[ ] Reuniões ou formações da Secretaria Municipal de Educação</w:t>
      </w:r>
    </w:p>
    <w:p>
      <w:pPr>
        <w:spacing w:line="240" w:lineRule="auto" w:after="40"/>
        <w:jc w:val="left"/>
      </w:pPr>
      <w:r>
        <w:rPr>
          <w:rFonts w:ascii="Times New Roman" w:hAnsi="Times New Roman"/>
          <w:sz w:val="24"/>
          <w:highlight w:val="yellow"/>
        </w:rPr>
        <w:t>[ ] Cursos de formação continuada</w:t>
      </w:r>
    </w:p>
    <w:p>
      <w:pPr>
        <w:spacing w:line="240" w:lineRule="auto" w:after="40"/>
        <w:jc w:val="left"/>
      </w:pPr>
      <w:r>
        <w:rPr>
          <w:rFonts w:ascii="Times New Roman" w:hAnsi="Times New Roman"/>
          <w:sz w:val="24"/>
          <w:highlight w:val="yellow"/>
        </w:rPr>
        <w:t>[ ] BNCC ou documentos curriculares</w:t>
      </w:r>
    </w:p>
    <w:p>
      <w:pPr>
        <w:spacing w:line="240" w:lineRule="auto" w:after="40"/>
        <w:jc w:val="left"/>
      </w:pPr>
      <w:r>
        <w:rPr>
          <w:rFonts w:ascii="Times New Roman" w:hAnsi="Times New Roman"/>
          <w:sz w:val="24"/>
          <w:highlight w:val="yellow"/>
        </w:rPr>
        <w:t>[ ] Imprensa, redes sociais ou internet</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conheço a política</w:t>
      </w:r>
    </w:p>
    <w:p>
      <w:pPr>
        <w:spacing w:line="240" w:lineRule="auto" w:after="40"/>
        <w:jc w:val="left"/>
      </w:pPr>
      <w:r>
        <w:rPr>
          <w:rFonts w:ascii="Times New Roman" w:hAnsi="Times New Roman"/>
          <w:sz w:val="24"/>
          <w:highlight w:val="yellow"/>
        </w:rPr>
        <w:t>29. A escola ou a rede ofereceu orientações sobre a PNED?</w:t>
      </w:r>
    </w:p>
    <w:p>
      <w:pPr>
        <w:spacing w:line="240" w:lineRule="auto" w:after="40"/>
        <w:jc w:val="left"/>
      </w:pPr>
      <w:r>
        <w:rPr>
          <w:rFonts w:ascii="Times New Roman" w:hAnsi="Times New Roman"/>
          <w:sz w:val="24"/>
          <w:highlight w:val="yellow"/>
        </w:rPr>
        <w:t>( ) Sim, com debate e orientações pedagógicas</w:t>
      </w:r>
    </w:p>
    <w:p>
      <w:pPr>
        <w:spacing w:line="240" w:lineRule="auto" w:after="40"/>
        <w:jc w:val="left"/>
      </w:pPr>
      <w:r>
        <w:rPr>
          <w:rFonts w:ascii="Times New Roman" w:hAnsi="Times New Roman"/>
          <w:sz w:val="24"/>
          <w:highlight w:val="yellow"/>
        </w:rPr>
        <w:t>( ) Sim, mas de forma superficial</w:t>
      </w:r>
    </w:p>
    <w:p>
      <w:pPr>
        <w:spacing w:line="240" w:lineRule="auto" w:after="40"/>
        <w:jc w:val="left"/>
      </w:pPr>
      <w:r>
        <w:rPr>
          <w:rFonts w:ascii="Times New Roman" w:hAnsi="Times New Roman"/>
          <w:sz w:val="24"/>
          <w:highlight w:val="yellow"/>
        </w:rPr>
        <w:t>( ) Não houve orientação</w:t>
      </w:r>
    </w:p>
    <w:p>
      <w:pPr>
        <w:spacing w:line="240" w:lineRule="auto" w:after="40"/>
        <w:jc w:val="left"/>
      </w:pPr>
      <w:r>
        <w:rPr>
          <w:rFonts w:ascii="Times New Roman" w:hAnsi="Times New Roman"/>
          <w:sz w:val="24"/>
          <w:highlight w:val="yellow"/>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highlight w:val="yellow"/>
        </w:rPr>
        <w:t>( ) Sim, com frequência</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31. Se sim, para quem esses registros são encaminhados? (Pode assinalar mais de uma)</w:t>
      </w:r>
    </w:p>
    <w:p>
      <w:pPr>
        <w:spacing w:line="240" w:lineRule="auto" w:after="40"/>
        <w:jc w:val="left"/>
      </w:pPr>
      <w:r>
        <w:rPr>
          <w:rFonts w:ascii="Times New Roman" w:hAnsi="Times New Roman"/>
          <w:sz w:val="24"/>
          <w:highlight w:val="yellow"/>
        </w:rPr>
        <w:t>[ ] Coordenação ou direção da escola</w:t>
      </w:r>
    </w:p>
    <w:p>
      <w:pPr>
        <w:spacing w:line="240" w:lineRule="auto" w:after="40"/>
        <w:jc w:val="left"/>
      </w:pPr>
      <w:r>
        <w:rPr>
          <w:rFonts w:ascii="Times New Roman" w:hAnsi="Times New Roman"/>
          <w:sz w:val="24"/>
          <w:highlight w:val="yellow"/>
        </w:rPr>
        <w:t>[ ] Secretaria Municipal de Educação</w:t>
      </w:r>
    </w:p>
    <w:p>
      <w:pPr>
        <w:spacing w:line="240" w:lineRule="auto" w:after="40"/>
        <w:jc w:val="left"/>
      </w:pPr>
      <w:r>
        <w:rPr>
          <w:rFonts w:ascii="Times New Roman" w:hAnsi="Times New Roman"/>
          <w:sz w:val="24"/>
          <w:highlight w:val="yellow"/>
        </w:rPr>
        <w:t>[ ] Plataformas ou programas federais</w:t>
      </w:r>
    </w:p>
    <w:p>
      <w:pPr>
        <w:spacing w:line="240" w:lineRule="auto" w:after="40"/>
        <w:jc w:val="left"/>
      </w:pPr>
      <w:r>
        <w:rPr>
          <w:rFonts w:ascii="Times New Roman" w:hAnsi="Times New Roman"/>
          <w:sz w:val="24"/>
          <w:highlight w:val="yellow"/>
        </w:rPr>
        <w:t>[ ] Programas ou empresas parceiras</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32. Na sua percepção, o que é registrado sobre educação digital corresponde ao que de fato acontece com as crianças?</w:t>
      </w:r>
    </w:p>
    <w:p>
      <w:pPr>
        <w:spacing w:line="240" w:lineRule="auto" w:after="40"/>
        <w:jc w:val="left"/>
      </w:pPr>
      <w:r>
        <w:rPr>
          <w:rFonts w:ascii="Times New Roman" w:hAnsi="Times New Roman"/>
          <w:sz w:val="24"/>
          <w:highlight w:val="yellow"/>
        </w:rPr>
        <w:t>( ) Corresponde plenamente</w:t>
      </w:r>
    </w:p>
    <w:p>
      <w:pPr>
        <w:spacing w:line="240" w:lineRule="auto" w:after="40"/>
        <w:jc w:val="left"/>
      </w:pPr>
      <w:r>
        <w:rPr>
          <w:rFonts w:ascii="Times New Roman" w:hAnsi="Times New Roman"/>
          <w:sz w:val="24"/>
          <w:highlight w:val="yellow"/>
        </w:rPr>
        <w:t>( ) Corresponde em parte</w:t>
      </w:r>
    </w:p>
    <w:p>
      <w:pPr>
        <w:spacing w:line="240" w:lineRule="auto" w:after="40"/>
        <w:jc w:val="left"/>
      </w:pPr>
      <w:r>
        <w:rPr>
          <w:rFonts w:ascii="Times New Roman" w:hAnsi="Times New Roman"/>
          <w:sz w:val="24"/>
          <w:highlight w:val="yellow"/>
        </w:rPr>
        <w:t>( ) Corresponde pouco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33. O texto da PNED considera as condições materiais das escolas municipais?</w:t>
      </w:r>
    </w:p>
    <w:p>
      <w:pPr>
        <w:spacing w:line="240" w:lineRule="auto" w:after="40"/>
        <w:jc w:val="left"/>
      </w:pPr>
      <w:r>
        <w:rPr>
          <w:rFonts w:ascii="Times New Roman" w:hAnsi="Times New Roman"/>
          <w:sz w:val="24"/>
          <w:highlight w:val="yellow"/>
        </w:rPr>
        <w:t>( ) Considera plenamente</w:t>
      </w:r>
    </w:p>
    <w:p>
      <w:pPr>
        <w:spacing w:line="240" w:lineRule="auto" w:after="40"/>
        <w:jc w:val="left"/>
      </w:pPr>
      <w:r>
        <w:rPr>
          <w:rFonts w:ascii="Times New Roman" w:hAnsi="Times New Roman"/>
          <w:sz w:val="24"/>
          <w:highlight w:val="yellow"/>
        </w:rPr>
        <w:t>( ) Considera em parte, com exigências distantes da escola</w:t>
      </w:r>
    </w:p>
    <w:p>
      <w:pPr>
        <w:spacing w:line="240" w:lineRule="auto" w:after="40"/>
        <w:jc w:val="left"/>
      </w:pPr>
      <w:r>
        <w:rPr>
          <w:rFonts w:ascii="Times New Roman" w:hAnsi="Times New Roman"/>
          <w:sz w:val="24"/>
          <w:highlight w:val="yellow"/>
        </w:rPr>
        <w:t>( ) Não considera</w:t>
      </w:r>
    </w:p>
    <w:p>
      <w:pPr>
        <w:spacing w:line="240" w:lineRule="auto" w:after="40"/>
        <w:jc w:val="left"/>
      </w:pPr>
      <w:r>
        <w:rPr>
          <w:rFonts w:ascii="Times New Roman" w:hAnsi="Times New Roman"/>
          <w:sz w:val="24"/>
          <w:highlight w:val="yellow"/>
        </w:rPr>
        <w:t>( ) Não sei opinar</w:t>
      </w:r>
    </w:p>
    <w:p>
      <w:pPr>
        <w:spacing w:line="360" w:lineRule="auto" w:before="240" w:after="240"/>
      </w:pPr>
      <w:r>
        <w:rPr>
          <w:rFonts w:ascii="Times New Roman" w:hAnsi="Times New Roman"/>
          <w:b/>
          <w:sz w:val="24"/>
          <w:highlight w:val="yellow"/>
        </w:rPr>
        <w:t>BLOCO 5 – CONCEPÇÕES DE EDUCAÇÃO DIGITAL E DIREITOS DA CRIANÇA</w:t>
      </w:r>
    </w:p>
    <w:p>
      <w:pPr>
        <w:spacing w:line="240" w:lineRule="auto" w:after="40"/>
        <w:jc w:val="left"/>
      </w:pPr>
      <w:r>
        <w:rPr>
          <w:rFonts w:ascii="Times New Roman" w:hAnsi="Times New Roman"/>
          <w:sz w:val="24"/>
          <w:highlight w:val="yellow"/>
        </w:rPr>
        <w:t>34. Quando você pensa em “educação digital” nos anos iniciais, o que vem primeiro? (Assinale até duas)</w:t>
      </w:r>
    </w:p>
    <w:p>
      <w:pPr>
        <w:spacing w:line="240" w:lineRule="auto" w:after="40"/>
        <w:jc w:val="left"/>
      </w:pPr>
      <w:r>
        <w:rPr>
          <w:rFonts w:ascii="Times New Roman" w:hAnsi="Times New Roman"/>
          <w:sz w:val="24"/>
          <w:highlight w:val="yellow"/>
        </w:rPr>
        <w:t>[ ] Usar equipamentos e aplicativos nas aulas</w:t>
      </w:r>
    </w:p>
    <w:p>
      <w:pPr>
        <w:spacing w:line="240" w:lineRule="auto" w:after="40"/>
        <w:jc w:val="left"/>
      </w:pPr>
      <w:r>
        <w:rPr>
          <w:rFonts w:ascii="Times New Roman" w:hAnsi="Times New Roman"/>
          <w:sz w:val="24"/>
          <w:highlight w:val="yellow"/>
        </w:rPr>
        <w:t>[ ] Ensinar como a internet e os dispositivos funcionam</w:t>
      </w:r>
    </w:p>
    <w:p>
      <w:pPr>
        <w:spacing w:line="240" w:lineRule="auto" w:after="40"/>
        <w:jc w:val="left"/>
      </w:pPr>
      <w:r>
        <w:rPr>
          <w:rFonts w:ascii="Times New Roman" w:hAnsi="Times New Roman"/>
          <w:sz w:val="24"/>
          <w:highlight w:val="yellow"/>
        </w:rPr>
        <w:t>[ ] Desenvolver leitura crítica do que as crianças veem nas telas</w:t>
      </w:r>
    </w:p>
    <w:p>
      <w:pPr>
        <w:spacing w:line="240" w:lineRule="auto" w:after="40"/>
        <w:jc w:val="left"/>
      </w:pPr>
      <w:r>
        <w:rPr>
          <w:rFonts w:ascii="Times New Roman" w:hAnsi="Times New Roman"/>
          <w:sz w:val="24"/>
          <w:highlight w:val="yellow"/>
        </w:rPr>
        <w:t>[ ] Proteger as crianças de riscos, publicidade e exposição de dados</w:t>
      </w:r>
    </w:p>
    <w:p>
      <w:pPr>
        <w:spacing w:line="240" w:lineRule="auto" w:after="40"/>
        <w:jc w:val="left"/>
      </w:pPr>
      <w:r>
        <w:rPr>
          <w:rFonts w:ascii="Times New Roman" w:hAnsi="Times New Roman"/>
          <w:sz w:val="24"/>
          <w:highlight w:val="yellow"/>
        </w:rPr>
        <w:t>[ ] Garantir que todas as crianças tenham acesso</w:t>
      </w:r>
    </w:p>
    <w:p>
      <w:pPr>
        <w:spacing w:line="240" w:lineRule="auto" w:after="40"/>
        <w:jc w:val="left"/>
      </w:pPr>
      <w:r>
        <w:rPr>
          <w:rFonts w:ascii="Times New Roman" w:hAnsi="Times New Roman"/>
          <w:sz w:val="24"/>
          <w:highlight w:val="yellow"/>
        </w:rPr>
        <w:t>[ ] Permitir que as crianças produzam e se expressem com o digital</w:t>
      </w:r>
    </w:p>
    <w:p>
      <w:pPr>
        <w:spacing w:line="240" w:lineRule="auto" w:after="40"/>
        <w:jc w:val="left"/>
      </w:pPr>
      <w:r>
        <w:rPr>
          <w:rFonts w:ascii="Times New Roman" w:hAnsi="Times New Roman"/>
          <w:sz w:val="24"/>
          <w:highlight w:val="yellow"/>
        </w:rPr>
        <w:t>35. As crianças chegam à escola com experiências desiguais com celulares, computadores e internet?</w:t>
      </w:r>
    </w:p>
    <w:p>
      <w:pPr>
        <w:spacing w:line="240" w:lineRule="auto" w:after="40"/>
        <w:jc w:val="left"/>
      </w:pPr>
      <w:r>
        <w:rPr>
          <w:rFonts w:ascii="Times New Roman" w:hAnsi="Times New Roman"/>
          <w:sz w:val="24"/>
          <w:highlight w:val="yellow"/>
        </w:rPr>
        <w:t>( ) Sim, com contrastes profundos</w:t>
      </w:r>
    </w:p>
    <w:p>
      <w:pPr>
        <w:spacing w:line="240" w:lineRule="auto" w:after="40"/>
        <w:jc w:val="left"/>
      </w:pPr>
      <w:r>
        <w:rPr>
          <w:rFonts w:ascii="Times New Roman" w:hAnsi="Times New Roman"/>
          <w:sz w:val="24"/>
          <w:highlight w:val="yellow"/>
        </w:rPr>
        <w:t>( ) Sim, mas sem grande efeito na rotina</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 ) Não sei informar</w:t>
      </w:r>
    </w:p>
    <w:p>
      <w:pPr>
        <w:spacing w:line="240" w:lineRule="auto" w:after="40"/>
        <w:jc w:val="left"/>
      </w:pPr>
      <w:r>
        <w:rPr>
          <w:rFonts w:ascii="Times New Roman" w:hAnsi="Times New Roman"/>
          <w:sz w:val="24"/>
          <w:highlight w:val="yellow"/>
        </w:rPr>
        <w:t>36. Na sua escola, qual destes direitos das crianças no ambiente digital parece mais distante de ser garantido?</w:t>
      </w:r>
    </w:p>
    <w:p>
      <w:pPr>
        <w:spacing w:line="240" w:lineRule="auto" w:after="40"/>
        <w:jc w:val="left"/>
      </w:pPr>
      <w:r>
        <w:rPr>
          <w:rFonts w:ascii="Times New Roman" w:hAnsi="Times New Roman"/>
          <w:sz w:val="24"/>
          <w:highlight w:val="yellow"/>
        </w:rPr>
        <w:t>( ) Acesso a equipamentos e conexão de qualidade (provisão)</w:t>
      </w:r>
    </w:p>
    <w:p>
      <w:pPr>
        <w:spacing w:line="240" w:lineRule="auto" w:after="40"/>
        <w:jc w:val="left"/>
      </w:pPr>
      <w:r>
        <w:rPr>
          <w:rFonts w:ascii="Times New Roman" w:hAnsi="Times New Roman"/>
          <w:sz w:val="24"/>
          <w:highlight w:val="yellow"/>
        </w:rPr>
        <w:t>( ) Aprender a usar o digital com autonomia e senso crítico (participação)</w:t>
      </w:r>
    </w:p>
    <w:p>
      <w:pPr>
        <w:spacing w:line="240" w:lineRule="auto" w:after="40"/>
        <w:jc w:val="left"/>
      </w:pPr>
      <w:r>
        <w:rPr>
          <w:rFonts w:ascii="Times New Roman" w:hAnsi="Times New Roman"/>
          <w:sz w:val="24"/>
          <w:highlight w:val="yellow"/>
        </w:rPr>
        <w:t>( ) Proteção da privacidade, da imagem e dos dados (proteção)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37. Quais são os principais desafios para a educação digital na sua escola? (Assinale até três)</w:t>
      </w:r>
    </w:p>
    <w:p>
      <w:pPr>
        <w:spacing w:line="240" w:lineRule="auto" w:after="40"/>
        <w:jc w:val="left"/>
      </w:pPr>
      <w:r>
        <w:rPr>
          <w:rFonts w:ascii="Times New Roman" w:hAnsi="Times New Roman"/>
          <w:sz w:val="24"/>
          <w:highlight w:val="yellow"/>
        </w:rPr>
        <w:t>[ ] Formação continuada voltada à infância</w:t>
      </w:r>
    </w:p>
    <w:p>
      <w:pPr>
        <w:spacing w:line="240" w:lineRule="auto" w:after="40"/>
        <w:jc w:val="left"/>
      </w:pPr>
      <w:r>
        <w:rPr>
          <w:rFonts w:ascii="Times New Roman" w:hAnsi="Times New Roman"/>
          <w:sz w:val="24"/>
          <w:highlight w:val="yellow"/>
        </w:rPr>
        <w:t>[ ] Internet instável ou ausente nas salas</w:t>
      </w:r>
    </w:p>
    <w:p>
      <w:pPr>
        <w:spacing w:line="240" w:lineRule="auto" w:after="40"/>
        <w:jc w:val="left"/>
      </w:pPr>
      <w:r>
        <w:rPr>
          <w:rFonts w:ascii="Times New Roman" w:hAnsi="Times New Roman"/>
          <w:sz w:val="24"/>
          <w:highlight w:val="yellow"/>
        </w:rPr>
        <w:t>[ ] Equipamentos insuficientes ou obsoletos</w:t>
      </w:r>
    </w:p>
    <w:p>
      <w:pPr>
        <w:spacing w:line="240" w:lineRule="auto" w:after="40"/>
        <w:jc w:val="left"/>
      </w:pPr>
      <w:r>
        <w:rPr>
          <w:rFonts w:ascii="Times New Roman" w:hAnsi="Times New Roman"/>
          <w:sz w:val="24"/>
          <w:highlight w:val="yellow"/>
        </w:rPr>
        <w:t>[ ] Pouco tempo de planejamento</w:t>
      </w:r>
    </w:p>
    <w:p>
      <w:pPr>
        <w:spacing w:line="240" w:lineRule="auto" w:after="40"/>
        <w:jc w:val="left"/>
      </w:pPr>
      <w:r>
        <w:rPr>
          <w:rFonts w:ascii="Times New Roman" w:hAnsi="Times New Roman"/>
          <w:sz w:val="24"/>
          <w:highlight w:val="yellow"/>
        </w:rPr>
        <w:t>[ ] Falta de suporte técnico</w:t>
      </w:r>
    </w:p>
    <w:p>
      <w:pPr>
        <w:spacing w:line="240" w:lineRule="auto" w:after="40"/>
        <w:jc w:val="left"/>
      </w:pPr>
      <w:r>
        <w:rPr>
          <w:rFonts w:ascii="Times New Roman" w:hAnsi="Times New Roman"/>
          <w:sz w:val="24"/>
          <w:highlight w:val="yellow"/>
        </w:rPr>
        <w:t>[ ] Orientações curriculares pouco claras</w:t>
      </w:r>
    </w:p>
    <w:p>
      <w:pPr>
        <w:spacing w:line="240" w:lineRule="auto" w:after="40"/>
        <w:jc w:val="left"/>
      </w:pPr>
      <w:r>
        <w:rPr>
          <w:rFonts w:ascii="Times New Roman" w:hAnsi="Times New Roman"/>
          <w:sz w:val="24"/>
          <w:highlight w:val="yellow"/>
        </w:rPr>
        <w:t>[ ] Excesso de registros e exigências burocráticas</w:t>
      </w:r>
    </w:p>
    <w:p>
      <w:pPr>
        <w:spacing w:line="240" w:lineRule="auto" w:after="40"/>
        <w:jc w:val="left"/>
      </w:pPr>
      <w:r>
        <w:rPr>
          <w:rFonts w:ascii="Times New Roman" w:hAnsi="Times New Roman"/>
          <w:sz w:val="24"/>
          <w:highlight w:val="yellow"/>
        </w:rPr>
        <w:t>[ ] Outro: ______________</w:t>
      </w:r>
    </w:p>
    <w:p>
      <w:pPr>
        <w:spacing w:line="360" w:lineRule="auto" w:before="240" w:after="240"/>
      </w:pPr>
      <w:r>
        <w:rPr>
          <w:rFonts w:ascii="Times New Roman" w:hAnsi="Times New Roman"/>
          <w:b/>
          <w:sz w:val="24"/>
          <w:highlight w:val="yellow"/>
        </w:rPr>
        <w:t>BLOCO 6 – QUESTÃO ABERTA</w:t>
      </w:r>
    </w:p>
    <w:p>
      <w:pPr>
        <w:spacing w:line="240" w:lineRule="auto" w:after="40"/>
        <w:jc w:val="left"/>
      </w:pPr>
      <w:r>
        <w:rPr>
          <w:rFonts w:ascii="Times New Roman" w:hAnsi="Times New Roman"/>
          <w:sz w:val="24"/>
          <w:highlight w:val="yellow"/>
        </w:rPr>
        <w:t>38. Se desejar, registre comentários sobre a PNED, a realidade da escola ou as condições de trabalho com a cultura digital.</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highlight w:val="yellow"/>
        </w:rPr>
        <w:t>APÊNDICE C – ROTEIRO DE ENTREVISTA SEMIESTRUTURADA EM PROFUNDIDADE</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Objetivo do instrumento: escutar como os profissionais da educação interpretam a PNED, que táticas constroem para traduzi-la nas condições materiais e territoriais da escola e como respondem às exigências de registro e de resultado, identificando movimentos de ressignificação e de resistência.</w:t>
      </w:r>
    </w:p>
    <w:p>
      <w:pPr>
        <w:spacing w:line="240" w:lineRule="auto" w:after="40"/>
        <w:jc w:val="left"/>
      </w:pPr>
      <w:r>
        <w:rPr>
          <w:rFonts w:ascii="Times New Roman" w:hAnsi="Times New Roman"/>
          <w:sz w:val="24"/>
          <w:highlight w:val="yellow"/>
        </w:rPr>
        <w:t>Modalidade: entrevista semiestruturada em profundidade, conduzida como narrativa, com duração prevista entre 60 e 90 minutos.</w:t>
      </w:r>
    </w:p>
    <w:p>
      <w:pPr>
        <w:spacing w:line="240" w:lineRule="auto" w:after="40"/>
        <w:jc w:val="left"/>
      </w:pPr>
      <w:r>
        <w:rPr>
          <w:rFonts w:ascii="Times New Roman" w:hAnsi="Times New Roman"/>
          <w:sz w:val="24"/>
          <w:highlight w:val="yellow"/>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highlight w:val="yellow"/>
        </w:rPr>
        <w:t>PARTE 1 – ROTEIRO BASE (DOCÊNCIA NO 1º E NO 2º ANOS)</w:t>
      </w:r>
    </w:p>
    <w:p>
      <w:pPr>
        <w:spacing w:line="360" w:lineRule="auto" w:before="240" w:after="240"/>
      </w:pPr>
      <w:r>
        <w:rPr>
          <w:rFonts w:ascii="Times New Roman" w:hAnsi="Times New Roman"/>
          <w:b/>
          <w:sz w:val="24"/>
          <w:highlight w:val="yellow"/>
        </w:rPr>
        <w:t>EIXO 1 – Trajetória e culturas profissionais</w:t>
      </w:r>
    </w:p>
    <w:p>
      <w:pPr>
        <w:spacing w:line="240" w:lineRule="auto" w:after="40"/>
        <w:jc w:val="left"/>
      </w:pPr>
      <w:r>
        <w:rPr>
          <w:rFonts w:ascii="Times New Roman" w:hAnsi="Times New Roman"/>
          <w:sz w:val="24"/>
          <w:highlight w:val="yellow"/>
        </w:rPr>
        <w:t>Questão norteadora: como a sua história na profissão e na escola orienta a sua relação com o digital?</w:t>
      </w:r>
    </w:p>
    <w:p>
      <w:pPr>
        <w:spacing w:line="240" w:lineRule="auto" w:after="40"/>
        <w:jc w:val="left"/>
      </w:pPr>
      <w:r>
        <w:rPr>
          <w:rFonts w:ascii="Times New Roman" w:hAnsi="Times New Roman"/>
          <w:sz w:val="24"/>
          <w:highlight w:val="yellow"/>
        </w:rPr>
        <w:t>1. Conte um pouco da sua trajetória na educação e de como chegou à Escola Municipal Domitila Castelo.</w:t>
      </w:r>
    </w:p>
    <w:p>
      <w:pPr>
        <w:spacing w:line="240" w:lineRule="auto" w:after="40"/>
        <w:jc w:val="left"/>
      </w:pPr>
      <w:r>
        <w:rPr>
          <w:rFonts w:ascii="Times New Roman" w:hAnsi="Times New Roman"/>
          <w:sz w:val="24"/>
          <w:highlight w:val="yellow"/>
        </w:rPr>
        <w:t>2. Como é trabalhar nesta escola? O que a equipe valoriza e o que costuma ser considerado um bom trabalho aqui?</w:t>
      </w:r>
    </w:p>
    <w:p>
      <w:pPr>
        <w:spacing w:line="240" w:lineRule="auto" w:after="40"/>
        <w:jc w:val="left"/>
      </w:pPr>
      <w:r>
        <w:rPr>
          <w:rFonts w:ascii="Times New Roman" w:hAnsi="Times New Roman"/>
          <w:sz w:val="24"/>
          <w:highlight w:val="yellow"/>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highlight w:val="yellow"/>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highlight w:val="yellow"/>
        </w:rPr>
        <w:t>EIXO 2 – Interpretação: como a PNED chegou e o que se entende dela</w:t>
      </w:r>
    </w:p>
    <w:p>
      <w:pPr>
        <w:spacing w:line="240" w:lineRule="auto" w:after="40"/>
        <w:jc w:val="left"/>
      </w:pPr>
      <w:r>
        <w:rPr>
          <w:rFonts w:ascii="Times New Roman" w:hAnsi="Times New Roman"/>
          <w:sz w:val="24"/>
          <w:highlight w:val="yellow"/>
        </w:rPr>
        <w:t>Questão norteadora: que sentidos você atribui à PNED e à educação digital?</w:t>
      </w:r>
    </w:p>
    <w:p>
      <w:pPr>
        <w:spacing w:line="240" w:lineRule="auto" w:after="40"/>
        <w:jc w:val="left"/>
      </w:pPr>
      <w:r>
        <w:rPr>
          <w:rFonts w:ascii="Times New Roman" w:hAnsi="Times New Roman"/>
          <w:sz w:val="24"/>
          <w:highlight w:val="yellow"/>
        </w:rPr>
        <w:t>5. O que você conhece da Política Nacional de Educação Digital? Por quais caminhos ela chegou até você?</w:t>
      </w:r>
    </w:p>
    <w:p>
      <w:pPr>
        <w:spacing w:line="240" w:lineRule="auto" w:after="40"/>
        <w:jc w:val="left"/>
      </w:pPr>
      <w:r>
        <w:rPr>
          <w:rFonts w:ascii="Times New Roman" w:hAnsi="Times New Roman"/>
          <w:sz w:val="24"/>
          <w:highlight w:val="yellow"/>
        </w:rPr>
        <w:t>6. Houve reuniões, documentos ou formações da escola ou da Secretaria sobre a PNED? Como foram?</w:t>
      </w:r>
    </w:p>
    <w:p>
      <w:pPr>
        <w:spacing w:line="240" w:lineRule="auto" w:after="40"/>
        <w:jc w:val="left"/>
      </w:pPr>
      <w:r>
        <w:rPr>
          <w:rFonts w:ascii="Times New Roman" w:hAnsi="Times New Roman"/>
          <w:sz w:val="24"/>
          <w:highlight w:val="yellow"/>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highlight w:val="yellow"/>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highlight w:val="yellow"/>
        </w:rPr>
        <w:t>9. Há algo no que a política propõe com que você concorda muito ou de que discorda? O quê?</w:t>
      </w:r>
    </w:p>
    <w:p>
      <w:pPr>
        <w:spacing w:line="360" w:lineRule="auto" w:before="240" w:after="240"/>
      </w:pPr>
      <w:r>
        <w:rPr>
          <w:rFonts w:ascii="Times New Roman" w:hAnsi="Times New Roman"/>
          <w:b/>
          <w:sz w:val="24"/>
          <w:highlight w:val="yellow"/>
        </w:rPr>
        <w:t>EIXO 3 – Tradução: o cotidiano, a dimensão material e o território</w:t>
      </w:r>
    </w:p>
    <w:p>
      <w:pPr>
        <w:spacing w:line="240" w:lineRule="auto" w:after="40"/>
        <w:jc w:val="left"/>
      </w:pPr>
      <w:r>
        <w:rPr>
          <w:rFonts w:ascii="Times New Roman" w:hAnsi="Times New Roman"/>
          <w:sz w:val="24"/>
          <w:highlight w:val="yellow"/>
        </w:rPr>
        <w:t>Questão norteadora: como a educação digital acontece na rotina, diante das condições da escola e de Pipa?</w:t>
      </w:r>
    </w:p>
    <w:p>
      <w:pPr>
        <w:spacing w:line="240" w:lineRule="auto" w:after="40"/>
        <w:jc w:val="left"/>
      </w:pPr>
      <w:r>
        <w:rPr>
          <w:rFonts w:ascii="Times New Roman" w:hAnsi="Times New Roman"/>
          <w:sz w:val="24"/>
          <w:highlight w:val="yellow"/>
        </w:rPr>
        <w:t>10. Como o digital está presente nas suas aulas? Que recursos você usa com mais frequência?</w:t>
      </w:r>
    </w:p>
    <w:p>
      <w:pPr>
        <w:spacing w:line="240" w:lineRule="auto" w:after="40"/>
        <w:jc w:val="left"/>
      </w:pPr>
      <w:r>
        <w:rPr>
          <w:rFonts w:ascii="Times New Roman" w:hAnsi="Times New Roman"/>
          <w:sz w:val="24"/>
          <w:highlight w:val="yellow"/>
        </w:rPr>
        <w:t>11. Descreva uma atividade com recursos digitais que você planejou e conseguiu realizar. O que a tornou possível?</w:t>
      </w:r>
    </w:p>
    <w:p>
      <w:pPr>
        <w:spacing w:line="240" w:lineRule="auto" w:after="40"/>
        <w:jc w:val="left"/>
      </w:pPr>
      <w:r>
        <w:rPr>
          <w:rFonts w:ascii="Times New Roman" w:hAnsi="Times New Roman"/>
          <w:sz w:val="24"/>
          <w:highlight w:val="yellow"/>
        </w:rPr>
        <w:t>12. Agora, uma atividade que você planejou e não conseguiu realizar como pretendia. O que aconteceu?</w:t>
      </w:r>
    </w:p>
    <w:p>
      <w:pPr>
        <w:spacing w:line="240" w:lineRule="auto" w:after="40"/>
        <w:jc w:val="left"/>
      </w:pPr>
      <w:r>
        <w:rPr>
          <w:rFonts w:ascii="Times New Roman" w:hAnsi="Times New Roman"/>
          <w:sz w:val="24"/>
          <w:highlight w:val="yellow"/>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highlight w:val="yellow"/>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highlight w:val="yellow"/>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highlight w:val="yellow"/>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highlight w:val="yellow"/>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highlight w:val="yellow"/>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highlight w:val="yellow"/>
        </w:rPr>
        <w:t>EIXO 4 – Performatividade: registros, metas e cobranças</w:t>
      </w:r>
    </w:p>
    <w:p>
      <w:pPr>
        <w:spacing w:line="240" w:lineRule="auto" w:after="40"/>
        <w:jc w:val="left"/>
      </w:pPr>
      <w:r>
        <w:rPr>
          <w:rFonts w:ascii="Times New Roman" w:hAnsi="Times New Roman"/>
          <w:sz w:val="24"/>
          <w:highlight w:val="yellow"/>
        </w:rPr>
        <w:t>Questão norteadora: que exigências acompanham a educação digital e como elas afetam o seu trabalho?</w:t>
      </w:r>
    </w:p>
    <w:p>
      <w:pPr>
        <w:spacing w:line="240" w:lineRule="auto" w:after="40"/>
        <w:jc w:val="left"/>
      </w:pPr>
      <w:r>
        <w:rPr>
          <w:rFonts w:ascii="Times New Roman" w:hAnsi="Times New Roman"/>
          <w:sz w:val="24"/>
          <w:highlight w:val="yellow"/>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highlight w:val="yellow"/>
        </w:rPr>
        <w:t>20. Quem pede esses registros e para que eles servem, na sua percepção?</w:t>
      </w:r>
    </w:p>
    <w:p>
      <w:pPr>
        <w:spacing w:line="240" w:lineRule="auto" w:after="40"/>
        <w:jc w:val="left"/>
      </w:pPr>
      <w:r>
        <w:rPr>
          <w:rFonts w:ascii="Times New Roman" w:hAnsi="Times New Roman"/>
          <w:sz w:val="24"/>
          <w:highlight w:val="yellow"/>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highlight w:val="yellow"/>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highlight w:val="yellow"/>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highlight w:val="yellow"/>
        </w:rPr>
        <w:t>EIXO 5 – Ressignificação e resistência</w:t>
      </w:r>
    </w:p>
    <w:p>
      <w:pPr>
        <w:spacing w:line="240" w:lineRule="auto" w:after="40"/>
        <w:jc w:val="left"/>
      </w:pPr>
      <w:r>
        <w:rPr>
          <w:rFonts w:ascii="Times New Roman" w:hAnsi="Times New Roman"/>
          <w:sz w:val="24"/>
          <w:highlight w:val="yellow"/>
        </w:rPr>
        <w:t>Questão norteadora: como você e a equipe respondem ao que a política pede quando ele não cabe na realidade da escola?</w:t>
      </w:r>
    </w:p>
    <w:p>
      <w:pPr>
        <w:spacing w:line="240" w:lineRule="auto" w:after="40"/>
        <w:jc w:val="left"/>
      </w:pPr>
      <w:r>
        <w:rPr>
          <w:rFonts w:ascii="Times New Roman" w:hAnsi="Times New Roman"/>
          <w:sz w:val="24"/>
          <w:highlight w:val="yellow"/>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highlight w:val="yellow"/>
        </w:rPr>
        <w:t>25. Há situações em que você decide não realizar uma atividade digital? O que pesa nessa decisão?</w:t>
      </w:r>
    </w:p>
    <w:p>
      <w:pPr>
        <w:spacing w:line="240" w:lineRule="auto" w:after="40"/>
        <w:jc w:val="left"/>
      </w:pPr>
      <w:r>
        <w:rPr>
          <w:rFonts w:ascii="Times New Roman" w:hAnsi="Times New Roman"/>
          <w:sz w:val="24"/>
          <w:highlight w:val="yellow"/>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highlight w:val="yellow"/>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highlight w:val="yellow"/>
        </w:rPr>
        <w:t>EIXO 6 – Habitar o digital e direitos da criança</w:t>
      </w:r>
    </w:p>
    <w:p>
      <w:pPr>
        <w:spacing w:line="240" w:lineRule="auto" w:after="40"/>
        <w:jc w:val="left"/>
      </w:pPr>
      <w:r>
        <w:rPr>
          <w:rFonts w:ascii="Times New Roman" w:hAnsi="Times New Roman"/>
          <w:sz w:val="24"/>
          <w:highlight w:val="yellow"/>
        </w:rPr>
        <w:t>Questão norteadora: que lugar o digital ocupa na vida das crianças e o que a escola deve garantir a elas?</w:t>
      </w:r>
    </w:p>
    <w:p>
      <w:pPr>
        <w:spacing w:line="240" w:lineRule="auto" w:after="40"/>
        <w:jc w:val="left"/>
      </w:pPr>
      <w:r>
        <w:rPr>
          <w:rFonts w:ascii="Times New Roman" w:hAnsi="Times New Roman"/>
          <w:sz w:val="24"/>
          <w:highlight w:val="yellow"/>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highlight w:val="yellow"/>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highlight w:val="yellow"/>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highlight w:val="yellow"/>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highlight w:val="yellow"/>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highlight w:val="yellow"/>
        </w:rPr>
        <w:t>ENCERRAMENTO</w:t>
      </w:r>
    </w:p>
    <w:p>
      <w:pPr>
        <w:spacing w:line="240" w:lineRule="auto" w:after="40"/>
        <w:jc w:val="left"/>
      </w:pPr>
      <w:r>
        <w:rPr>
          <w:rFonts w:ascii="Times New Roman" w:hAnsi="Times New Roman"/>
          <w:sz w:val="24"/>
          <w:highlight w:val="yellow"/>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highlight w:val="yellow"/>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highlight w:val="yellow"/>
        </w:rPr>
        <w:t>PARTE 2 – ADAPTAÇÃO PARA COORDENAÇÃO PEDAGÓGICA E DIREÇÃO</w:t>
      </w:r>
    </w:p>
    <w:p>
      <w:pPr>
        <w:spacing w:line="240" w:lineRule="auto" w:after="40"/>
        <w:jc w:val="left"/>
      </w:pPr>
      <w:r>
        <w:rPr>
          <w:rFonts w:ascii="Times New Roman" w:hAnsi="Times New Roman"/>
          <w:sz w:val="24"/>
          <w:highlight w:val="yellow"/>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highlight w:val="yellow"/>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highlight w:val="yellow"/>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highlight w:val="yellow"/>
        </w:rPr>
        <w:t>3. Que orientações, cobranças ou apoios chegam da Secretaria Municipal de Educação em relação à educação digital?</w:t>
      </w:r>
    </w:p>
    <w:p>
      <w:pPr>
        <w:spacing w:line="240" w:lineRule="auto" w:after="40"/>
        <w:jc w:val="left"/>
      </w:pPr>
      <w:r>
        <w:rPr>
          <w:rFonts w:ascii="Times New Roman" w:hAnsi="Times New Roman"/>
          <w:sz w:val="24"/>
          <w:highlight w:val="yellow"/>
        </w:rPr>
        <w:t>4. Como a escola distribui recursos tecnológicos limitados entre as turmas e entre o pedagógico e o administrativo?</w:t>
      </w:r>
    </w:p>
    <w:p>
      <w:pPr>
        <w:spacing w:line="240" w:lineRule="auto" w:after="40"/>
        <w:jc w:val="left"/>
      </w:pPr>
      <w:r>
        <w:rPr>
          <w:rFonts w:ascii="Times New Roman" w:hAnsi="Times New Roman"/>
          <w:sz w:val="24"/>
          <w:highlight w:val="yellow"/>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highlight w:val="yellow"/>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highlight w:val="yellow"/>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highlight w:val="yellow"/>
        </w:rPr>
        <w:t>8. Como a gestão avalia a presença de plataformas digitais, programas externos ou empresas parceiras na rotina da escola?</w:t>
      </w:r>
    </w:p>
    <w:p>
      <w:pPr>
        <w:spacing w:line="240" w:lineRule="auto" w:after="40"/>
        <w:jc w:val="left"/>
      </w:pPr>
      <w:r>
        <w:rPr>
          <w:rFonts w:ascii="Times New Roman" w:hAnsi="Times New Roman"/>
          <w:sz w:val="24"/>
          <w:highlight w:val="yellow"/>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highlight w:val="yellow"/>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highlight w:val="yellow"/>
        </w:rPr>
        <w:t>PARTE 3 – DIRETRIZES DE APLICAÇÃO</w:t>
      </w:r>
    </w:p>
    <w:p>
      <w:pPr>
        <w:spacing w:line="240" w:lineRule="auto" w:after="40"/>
        <w:jc w:val="left"/>
      </w:pPr>
      <w:r>
        <w:rPr>
          <w:rFonts w:ascii="Times New Roman" w:hAnsi="Times New Roman"/>
          <w:sz w:val="24"/>
          <w:highlight w:val="yellow"/>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highlight w:val="yellow"/>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highlight w:val="yellow"/>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highlight w:val="yellow"/>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highlight w:val="yellow"/>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highlight w:val="yellow"/>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