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É no espaço que se abre entre a educação digital garantida pela lei e as condições concretas de que a escola dispõe que esta tese se situa.</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t xml:space="preserve">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50-51).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e é por isso que as narrativas dos profissionais ocupam o centro da produção de dados.</w:t>
      </w:r>
    </w:p>
    <w:p>
      <w:pPr>
        <w:spacing w:line="360" w:lineRule="auto" w:after="0" w:before="0"/>
        <w:ind w:firstLine="709"/>
        <w:jc w:val="both"/>
      </w:pPr>
      <w:r>
        <w:rPr>
          <w:b w:val="0"/>
          <w:i w:val="0"/>
        </w:rPr>
        <w:t xml:space="preserve">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são discutidos no Capítulo 3 como contexto teórico, intencionalmente fora do objeto empírico.</w:t>
      </w:r>
    </w:p>
    <w:p>
      <w:pPr>
        <w:spacing w:line="360" w:lineRule="auto" w:after="0" w:before="0"/>
        <w:ind w:firstLine="709"/>
        <w:jc w:val="both"/>
      </w:pPr>
      <w:r>
        <w:rPr/>
        <w:t>Entre o texto oficial e o cotidiano escolar, as orientações encontram pessoas, limites institucionais, recursos desiguais e dinâmicas do território, e todos esses elementos interferem no modo como a norma ganha forma.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Antes de chegar à Escola Municipal Domitila Castelo da Silva, o eixo Educação Digital Escolar passa pela Secretaria Municipal de Educação de Tibau do Sul, que o lê e o converte em planos, formações e orientações para a rede. Na escola, ele será lido outra vez, adaptado e, possivelmente, transformado por quem trabalha nela. A análise precisa acompanhar essas traduções sucessivas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Numa rede municipal, há entre elas uma instância intermediária, a Secretaria de Educação, que recebe as orientações nacionais e as encaminha às unidades, e por isso a pesquisa parte dela antes de chegar à escola e de ouvir seus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Com esse recorte, definimos o objeto desta pesquisa: a encenação da Política Nacional de Educação Digital, em seu eixo Educação Digital Escolar, na Escola Municipal Domitila Castelo da Silva, em Pipa, no município de Tibau do Sul, litoral sul do Rio Grande do Norte. Para chegar a Pipa, a pesquisa percorre um caminho em forma de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Chamamos de profissionais da educação as professoras e os professores do 1º ao 5º ano, a coordenação pedagógica, a direção e os demais profissionais ligados aos processos pedagógicos ou à educação digital. Interessa-nos saber se e como a Secretaria considera a diversidade do território municipal ao traduzir a política e que peso têm, na escola, as culturas profissionais, as condições materiais e institucionais e as especificidades socioespaciais do lugar. O território, o funcionamento da rede e da escola e as condições de infraestrutura entram, assim, na análise como dimensões do contexto, e os documentos municipais, a entrevista com o técnico da Secretaria e as narrativas dos profissionais da escola constituem os caminhos para compreender como a política ganha forma no cotidiano escolar.</w:t>
      </w:r>
    </w:p>
    <w:p>
      <w:pPr>
        <w:spacing w:line="360" w:lineRule="auto" w:after="0" w:before="0"/>
        <w:ind w:firstLine="709"/>
        <w:jc w:val="both"/>
      </w:pPr>
      <w:r>
        <w:rPr/>
        <w:t xml:space="preserve">O objeto nos coloca diante de uma questão que atravessa a tese, a de saber o que acontece com uma política quando os direitos que ela institui não vêm acompanhados dos meios necessários para se realizarem.</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A Resolução CNE/CEB nº 2/2025 atribui aos sistemas de ensino a definição das estratégias de formação continuada para a educação digital (BRASIL, 2025a, art. 37), e, numa rede municipal, essas estratégias passam pela Secretaria de Educação, de onde partem também as orientações que chegam às escolas. Por essa razão, escolhemos olhar a política a partir dessas pessoas, na Secretaria e na escola.</w:t>
      </w:r>
    </w:p>
    <w:p>
      <w:pPr>
        <w:spacing w:line="360" w:lineRule="auto" w:after="0" w:before="0"/>
        <w:ind w:firstLine="709"/>
        <w:jc w:val="both"/>
      </w:pPr>
      <w:r>
        <w:rPr/>
        <w:t xml:space="preserve">A mesma política ganha formas diferentes em cada escola, e duas noções ajudam a compreender por quê. Ball, Maguire e Braun (2016, p. 38) incluem as culturas profissionais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Com a noção de performatividade, Ball (2004) descreve a cultura de metas, comparações e prestação de contas que passa a orientar o trabalho e a própria identidade dos profissionais da educação, e em outro texto a define como “um regime de prestação de contas que emprega julgamentos, comparações e exposições como meios de controle, desgaste e mudança” (BALL, 2008, p. 49, tradução nossa).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t xml:space="preserve">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74-75)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t>A delimitação do campo começa pelo município. Tibau do Sul tem 102,68 km² (IBGE, 2025) e tinha 16.929 habitantes no Censo de 2022 (IBGE, 2023); em 2010 eram 11.385, e cerca de 40% deles viviam em área rural (IBGE, 2011) [conferir na tabela do Censo 2010]. O IBGE reconhece no município apenas o distrito sede, mas o cotidiano se organiza em localidades com feições próprias: a sede, Pipa, Sibaúma, Piau e povoados como Umari, Bela Vista, Manimbu, Munim, Cabeceiras e Pernambuquinho, segundo levantamento preliminar a ser confirmado na relação oficial de localidades da Prefeitura. Sibaúma foi certificada como comunidade remanescente de quilombo pela Fundação Cultural Palmares por meio da Portaria nº 26, de 6 de junho de 2005 (FUNDAÇÃO CULTURAL PALMARES, 2005), e a presença de uma comunidade quilombola traz para a rede um marco normativo próprio, as Diretrizes Curriculares Nacionais para a Educação Escolar Quilombola (BRASIL, 2012). Uma política de alcance nacional, ao chegar a uma rede assim, precisa ser traduzida para escolas que não partilham as mesmas condições. Segundo o técnico da Secretaria Municipal de Educação, existe um plano elaborado para a rede como um todo [indicar nome, data e instância de aprovação do documento]. É a partir dele, dos demais documentos e das orientações municipais que a pesquisa pergunta se e como a Secretaria considera as especificidades de cada localidade ao traduzir a PNED.</w:t>
      </w:r>
    </w:p>
    <w:p>
      <w:pPr>
        <w:spacing w:line="360" w:lineRule="auto" w:after="0" w:before="0"/>
        <w:ind w:firstLine="709"/>
        <w:jc w:val="both"/>
      </w:pPr>
      <w:r>
        <w:rPr/>
        <w:t>Pipa, onde a escola está, acrescenta à pesquisa condições próprias. Na década de 1970, a localidade era uma comunidade agrícola e pesqueira, sem energia elétrica, água encanada e boas vias de acesso, que passou a receber surfistas a partir de meados daquela década e, com a divulgação mais intensa iniciada nos anos 1990, se tornou destino turístico internacional (AIRES, 2012, p. 81-82). Para compreender esse território, recorremos a Milton Santos, para quem “o território não é uma categoria de análise, a categoria de análise é o território usado” (SANTOS, 1999, p. 19). O território usado, explica o autor, deve ser visto “como um campo de forças, como o lugar do exercício, de dialéticas e contradições entre o vertical e o horizontal, entre o Estado e o mercado, entre o uso econômico e o uso social dos recursos” (SANTOS, 1999, p. 20). Em Pipa, essa contradição tem expressão concreta. A localidade onde pousadas, restaurantes e passeios se vendem pela internet é a mesma de onde as crianças saem, pela manhã, para salas de aula com carteiras enfileiradas, alfabeto móvel feito à mão e nenhuma tela, situação que Santos (2006, p. 163) ajuda a nomear quando observa que, com a difusão do meio técnico-científico-informacional, “distinguem-se zonas servidas pelos meios de conhecimento e áreas desprovidas dessa vantagem”.</w:t>
      </w:r>
    </w:p>
    <w:p>
      <w:pPr>
        <w:spacing w:line="360" w:lineRule="auto" w:after="0" w:before="0"/>
        <w:ind w:firstLine="709"/>
        <w:jc w:val="both"/>
      </w:pPr>
      <w:r>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Com o turismo, casas e terrenos de nativos foram vendidos, trocados ou alugados a veranistas, surfistas e estrangeiros (AIRES, 2012, p. 79-80, 84), e os relatos reunidos pela autora incluem trabalhadoras vindas de localidades vizinhas para os serviços ligados ao turismo (AIRES, 2012, p. 16, 87).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 Cabe à rede municipal, em primeiro lugar, traduzi-la para lugares tão diferentes quanto Pipa, Sibaúma e os povoados rurais, e cabe à escola, em seguida, traduzir a orientação recebida para as crianças que atende. Massey ajuda, ainda, a evitar que a distância entre a escola e os circuitos turísticos seja lida como atraso, ao criticar a operação que “transforma a geografia em história, o espaço em tempo” (MASSEY, 2008, p. 24). Escola e polo turístico são contemporâneos, e o que os separa são relações que a análise precisará explicar.</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 O mesmo cuidado vale para a entrevista com o técnico da Secretaria, instância da administração municipal em que a pesquisadora atua.</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t xml:space="preserve">Esse desenho tende a pesar mais em municípios de pequeno porte, como aquele em que a pesquisa se desenvolve. Tratar a situação como simples falha de gestão local retiraria de cena o desenho da lei e tornaria invisível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Assumimos a mesma cautela, e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 Em Tibau do Sul, onde parte das escolas municipais fica em localidades rurais [confirmar no Censo Escolar], o dado diz respeito à própria rede investigada.</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t>O desenho da lei, a capacidade da rede, o tempo de trabalho, as desigualdades do território e a lacuna da literatura convergem, assim, para o trabalho de mediação realizado na Secretaria e na escola pelos profissionais, em suas diferentes posições, feito de interpretações, traduções, escolhas e limites, no qual a análise se concentra.</w:t>
      </w:r>
    </w:p>
    <w:p>
      <w:pPr>
        <w:pStyle w:val="Heading2"/>
      </w:pPr>
      <w:r>
        <w:t>1.3 QUESTÃO DE PESQUISA E OBJETIVOS</w:t>
      </w:r>
    </w:p>
    <w:p>
      <w:pPr>
        <w:spacing w:line="360" w:lineRule="auto" w:after="0" w:before="0"/>
        <w:ind w:firstLine="709"/>
        <w:jc w:val="both"/>
      </w:pPr>
      <w:r>
        <w:rPr>
          <w:b w:val="0"/>
          <w:i w:val="0"/>
        </w:rPr>
        <w:t>Desse percurso nasce a questão que orienta a investigação: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pPr>
        <w:spacing w:line="360" w:lineRule="auto" w:after="0" w:before="0"/>
        <w:ind w:firstLine="709"/>
        <w:jc w:val="both"/>
      </w:pPr>
      <w: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que poderá aparecer ou não nos dados e que, se aparecer, será lida em relação às condições em que se constitui, às demandas a que responde e aos efeitos que produz no cotidiano escolar.</w:t>
      </w:r>
    </w:p>
    <w:p>
      <w:pPr>
        <w:spacing w:line="360" w:lineRule="auto" w:after="0" w:before="0"/>
        <w:ind w:firstLine="709"/>
        <w:jc w:val="both"/>
      </w:pPr>
      <w:r>
        <w:rPr>
          <w:b w:val="0"/>
          <w:i w:val="0"/>
        </w:rPr>
        <w:t>O objetivo geral é 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 São objetivos específicos:</w:t>
      </w:r>
    </w:p>
    <w:p>
      <w:pPr>
        <w:spacing w:line="360" w:lineRule="auto" w:after="0" w:before="0"/>
        <w:ind w:left="1049" w:hanging="340"/>
        <w:jc w:val="both"/>
      </w:pPr>
      <w:r>
        <w:rPr>
          <w:b w:val="0"/>
          <w:i w:val="0"/>
        </w:rPr>
        <w:t>a) analisar a recontextualização da PNED pela Secretaria Municipal de Educação em planos, currículos, formações e orientações para a rede, considerando as especificidades das localidades do município, entre elas as áreas rurais e a comunidade quilombola de Sibaúma, até chegar a Pipa;</w:t>
      </w:r>
    </w:p>
    <w:p>
      <w:pPr>
        <w:spacing w:line="360" w:lineRule="auto" w:after="0" w:before="0"/>
        <w:ind w:left="1049" w:hanging="340"/>
        <w:jc w:val="both"/>
      </w:pPr>
      <w:r>
        <w:rPr>
          <w:b w:val="0"/>
          <w:i w:val="0"/>
        </w:rPr>
        <w:t>b) compreender a interpretação da PNED e das orientações municipais pelos profissionais da escola, à luz de suas experiências, crenças, valores e formas de organização do trabalho;</w:t>
      </w:r>
    </w:p>
    <w:p>
      <w:pPr>
        <w:spacing w:line="360" w:lineRule="auto" w:after="0" w:before="0"/>
        <w:ind w:left="1049" w:hanging="340"/>
        <w:jc w:val="both"/>
      </w:pPr>
      <w:r>
        <w:rPr>
          <w:b w:val="0"/>
          <w:i w:val="0"/>
        </w:rPr>
        <w:t>c) examinar a relação entre as condições materiais e institucionais da escola, articuladas às especificidades de Pipa no território municipal, e a tradução da política em ações, escolhas e práticas cotidianas;</w:t>
      </w:r>
    </w:p>
    <w:p>
      <w:pPr>
        <w:spacing w:line="360" w:lineRule="auto" w:after="0" w:before="0"/>
        <w:ind w:left="1049" w:hanging="340"/>
        <w:jc w:val="both"/>
      </w:pPr>
      <w:r>
        <w:rPr>
          <w:b w:val="0"/>
          <w:i w:val="0"/>
        </w:rPr>
        <w:t>d) identificar as formas de atuação produzidas diante da política e das orientações municipais, da adesão à resistência, e suas implicações para a provisão, a proteção e a participação das crianças no ambiente digital.</w:t>
      </w:r>
    </w:p>
    <w:p>
      <w:pPr>
        <w:spacing w:line="360" w:lineRule="auto" w:after="0" w:before="240"/>
        <w:ind w:firstLine="709"/>
        <w:jc w:val="both"/>
      </w:pPr>
      <w: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até chegar ao que é previsto para Pipa;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e nela “a política é complexamente codificada em textos e artefatos e é decodificada (e recodificada) de forma igualmente complexa” (BALL; MAGUIRE; BRAUN, 2016, p. 14). Os autores propõem quatro dimensões do contexto (BALL; MAGUIRE; BRAUN, 2016, p. 38):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e que tem nesta pesquisa, na Secretaria Municipal de Educação, sua fonte principal. Para eles, “o contexto é uma força ‘ativa’, não é apenas um pano de fundo com os quais as escolas têm de operar” (BALL; MAGUIRE; BRAUN, 2016, p. 42). A performatividade (BALL, 2004, 2008)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Essas noções orientam o olhar sobre os dados sem antecipar o que será encontrado.</w:t>
      </w:r>
    </w:p>
    <w:p>
      <w:pPr>
        <w:spacing w:line="360" w:lineRule="auto" w:after="0" w:before="0"/>
        <w:ind w:firstLine="709"/>
        <w:jc w:val="both"/>
      </w:pPr>
      <w:r>
        <w:rPr/>
        <w:t xml:space="preserve">O território é lido com Santos e Massey. Em </w:t>
      </w:r>
      <w:r>
        <w:rPr>
          <w:i/>
        </w:rPr>
        <w:t xml:space="preserve">A natureza do espaço</w:t>
      </w:r>
      <w:r>
        <w:rPr/>
        <w:t xml:space="preserve">, Santos (2006, p. 12) compreende o espaço como conjunto indissociável de sistemas de objetos e de sistemas de ações e observa que “os sistemas de objetos condicionam a forma como se dão as ações” (SANTOS, 2006, p. 39). Os lugares guardam formas herdadas de outros períodos, que o autor chama de rugosidades, “o que fica do passado como forma, espaço construído, paisagem” (SANTOS, 2006, p. 92). Em </w:t>
      </w:r>
      <w:r>
        <w:rPr>
          <w:i/>
        </w:rPr>
        <w:t xml:space="preserve">Espaço e método</w:t>
      </w:r>
      <w:r>
        <w:rPr/>
        <w:t>, lembra que “as rugosidades – formas remanescentes dos períodos anteriores – devem ser levadas em conta quando uma sociedade procura impor novas funções” (SANTOS, 2012, p. 75). Massey, por sua vez, compreende o espaço “como a esfera da possibilidade da existência da multiplicidade, no sentido da pluralidade contemporânea, como a esfera na qual distintas trajetórias coexistem” (MASSEY, 2008, p. 29), o que permite ler Tibau do Sul como conjunto de lugares onde se encontram trajetórias diversas, da sede às localidades rurais, de Sibaúma a Pipa, e ler Pipa como lugar de encontro de trajetórias que chegam à escola na forma das famílias e das crianças que ela atende.</w:t>
      </w:r>
    </w:p>
    <w:p>
      <w:pPr>
        <w:spacing w:line="360" w:lineRule="auto" w:after="0" w:before="0"/>
        <w:ind w:firstLine="709"/>
        <w:jc w:val="both"/>
      </w:pPr>
      <w:r>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é a encenação da PNED na Escola Municipal Domitila Castelo da Silva, em Pipa. Para chegar a ele, a pesquisa lê o território municipal e os documentos da Secretaria Municipal de Educação e se estreita até Pipa e até a escola, a única instituição de ensino em que os profissionais serão ouvidos; a rede e a Secretaria entram como contexto da escola. O caso interessa pelo que permite compreender a fundo de uma realidade singular, sem pretensão de representar outras redes ou escolas.</w:t>
      </w:r>
    </w:p>
    <w:p>
      <w:pPr>
        <w:spacing w:line="360" w:lineRule="auto" w:after="0" w:before="0"/>
        <w:ind w:firstLine="709"/>
        <w:jc w:val="both"/>
      </w:pPr>
      <w:r>
        <w:rPr>
          <w:b w:val="0"/>
          <w:i w:val="0"/>
        </w:rPr>
        <w:t>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único participante da Secretaria. Sua entrevista abre a investigação e é a principal fonte oral sobre a dimensão externa do contexto: como as orientações nacionais são recebidas e traduzidas pela gestão municipal, que plano, formações e orientações foram produzidos para a rede e se esses materiais consideram as especificidades das localidades, antes de a análise chegar à escola.</w:t>
      </w:r>
    </w:p>
    <w:p>
      <w:pPr>
        <w:spacing w:line="360" w:lineRule="auto" w:after="0" w:before="0"/>
        <w:ind w:firstLine="709"/>
        <w:jc w:val="both"/>
      </w:pPr>
      <w:r>
        <w:rPr/>
        <w:t>Os dados serão construídos em cinco movimentos, ordenados da rede municipal à escola. O primeiro é a análise documental, em três planos: no nacional, a Lei nº 14.533/2023, a Resolução CNE/CEB nº 2/2025 e os documentos curriculares; no municipal, o plano elaborado pela Secretaria para a rede, o currículo, os registros de formação, as orientações enviadas às escolas e o Plano Municipal de Educação (TIBAU DO SUL, 2015), lidos com a pergunta sobre se e como diferenciam as localidades do município; no escolar, o Projeto Político-Pedagógico (PPP), os planos de aula, as atas e os registros de formação. Parte desses documentos já foi solicitada ao técnico da Secretaria e à direção da escola. O segundo é a leitura do território municipal, com dados do IBGE e do Censo Escolar sobre a distribuição da população e das escolas entre as localidades, acompanhada do registro iconográfico da escola de Pipa,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a primeira com o técnico da Secretaria e as demais com os profissionais da escola,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dados do território, imagens, questionário e entrevistas, e se encerra com a devolutiva dos resultados à escola e à Secretaria. A pesquisa não observa aulas, e as práticas chegam à análise pelas narrativas dos participantes, enquanto as condições materiais chegam pelos documentos, pelos dados do território e pelo registro iconográfico. Ball, Maguire e Braun (2016, p. 49) adotaram a mesma delimitação no estudo que deu origem à teoria da atuação: “a prática de sala de aula não era foco do estudo [...] nós temos de confiar nos relatos dos professores nessas questões”. O registro iconográfico e a consulta ao acervo histórico já foram realizados e sustentam o Capítulo 6. Os demais movimentos dependem da aprovação, pelo Comitê de Ética em Pesquisa, da emenda ao protocolo já aprovado, que incluirá a Secretaria Municipal de Educação como instituição coparticipante e ainda será submetida.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t xml:space="preserve">A palavra “resistências” está no título da tese por escolha deliberada, que pede um cuidado correspondente. A resistência será tratada como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Foucault dá a essa abertura um estatuto teórico. Ball, Maguire e Braun recorrem a ele ao tratar a política como “uma certa economia de discursos da verdade” (FOUCAULT, 1980, p. 93 apud BALL; MAGUIRE; BRAUN, 2016, p. 21), e em </w:t>
      </w:r>
      <w:r>
        <w:rPr>
          <w:i/>
        </w:rPr>
        <w:t xml:space="preserve">Vigiar e punir</w:t>
      </w:r>
      <w:r>
        <w:rPr/>
        <w:t xml:space="preserve"> o autor mostra que as relações de poder “não são unívocas; definem inúmeros pontos de luta, focos de instabilidade comportando cada um seus riscos de conflito, de lutas e de inversão pelo menos transitória da relação de forças” (FOUCAULT, 1999, p. 29). A resistência pertence, assim, às relações de poder que a política mobiliza na escola e pode aparecer sem ser pressuposta. Ball (2011, p. 46) adverte, por outro lado, contra os estudos em que os sujeitos “emergem, resistentes e românticos, heróis althusserianos lutando contra a opressão”, e a análise procurará descrever o que os profissionais fazem e as condições que tornam necessárias as suas escolhas, sem culpá-los nem celebrá-los.</w:t>
      </w:r>
    </w:p>
    <w:p>
      <w:pPr>
        <w:spacing w:line="360" w:lineRule="auto" w:after="0" w:before="0"/>
        <w:ind w:firstLine="709"/>
        <w:jc w:val="both"/>
      </w:pPr>
      <w:r>
        <w:rPr/>
        <w:t xml:space="preserve">A tese propõe ainda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e recorre a Di Felice para compreendê-lo “enquanto prática comunicativa” (SCHLEMMER; BACKES; PALAGI, 2021, p. 17). Em </w:t>
      </w:r>
      <w:r>
        <w:rPr>
          <w:i/>
        </w:rPr>
        <w:t xml:space="preserve">Paisagens pós-urbanas</w:t>
      </w:r>
      <w:r>
        <w:rPr/>
        <w:t>,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 Somadas às leituras de Santos e de Massey, essas contribuições permitem nomear uma tensão específica de Pipa, a coexistência de elevada densidade tecnológica nos circuitos econômicos e turísticos da localidade com uma disponibilidade muito mais limitada de tecnologias nos espaços pedagógicos da escola, que Santos (1999, p. 20-21) ajuda a entender como “dissonância entre os usos econômicos e os usos sociais dos mesmos recursos”.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num movimento que Santos descreve ao observar que a forma “freqüentemente permanece aguardando o próximo movimento dinâmico da sociedade, quando terá toda a probabilidade de ser chamada a cumprir uma nova função” (SANTOS, 2012, p. 74-75).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t>O ineditismo da pesquisa se mostra em três planos que se apoiam mutuamente. No plano empírico-temporal, a investigação acompanha a chegada da PNED à escola no momento em que a exigência curricular se torna obrigatória e ocupa uma lacuna identificada pela RSL, e Ball (2011, p. 38) lembra que a abordagem da trajetória “capta as formas pelas quais as políticas evoluem, se modificam e decaem ao longo do tempo e do espaço, assim como as suas incoerências”. No plano analítico-espacial, Pipa está no centro da análise, lida dentro de um território municipal diverso, com o peso que Santos e Massey atribuem ao território, e a política é acompanhada até ela por uma rede municipal de pequeno porte, situação que o corpus da RSL não reúne. No plano teórico-conceitual, a tese articula a teoria da atuação, as culturas profissionais, a dimensão material da escola e a leitura do território, propõe a noção de habitar o digital e trata a distância entre a norma e a sala de aula como parte de uma relação política entre texto, contexto e sujeitos, sem classificá-la de imediato como falha, incapacidade ou resistência. É nesse encontro entre a PNED, uma rede municipal, uma de suas escolas, seus profissionais, suas condições materiais e um território específico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na Secretaria e na escola, e nas condições institucionais de seu trabalho. As demais escolas da rede entram pelos documentos municipais e pelos dados do Censo Escolar, sem que seus profissionais sejam ouvidos.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t xml:space="preserve">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xml:space="preserve">, 2022), que localiza a lacuna ocupada pela tese. No terceiro, “Como uma política se torna prática: atuação, culturas profissionais, poder e o habitar o digital”, apresentamos os fundamentos teóricos da investigação: a ACP, a teoria da atuação, as culturas profissionais, a performatividade e a fabricação, a leitura foucaultiana do poder e da resistência e a noção de habitar o digital, acompanhada de uma discussão sobre plataformas, dados e solucionismo ligada à proteção das crianças.</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de Tibau do Sul a Pipa, o território como contexto da prática da educação digital”, percorremos em funil o caminho do município à escola: as localidades de Tibau do Sul, das áreas rurais à comunidade quilombola de Sibaúma; a rede municipal e a Secretaria de Educação diante da PNED, com os documentos já disponíveis; a história e as transformações de Pipa e a diversidade de quem a escola atende; e as condições materiais da escola, onde documentamos o habitar o digital e a rugosidade tecnológica. O capítulo dá materialidade às dimensões situacional, material e externa do contexto e oferece a base para os objetivos específicos (a) e (c).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ind w:firstLine="0"/>
        <w:jc w:val="center"/>
      </w:pPr>
      <w:r>
        <w:rPr>
          <w:b/>
        </w:rPr>
        <w:t>REFERÊNCIAS</w:t>
      </w:r>
    </w:p>
    <w:p>
      <w:pPr>
        <w:spacing w:line="240" w:lineRule="auto" w:after="240" w:before="0"/>
        <w:ind w:firstLine="0"/>
        <w:jc w:val="left"/>
      </w:pPr>
      <w:r>
        <w:rPr>
          <w:b w:val="0"/>
          <w:i w:val="0"/>
        </w:rPr>
        <w:t xml:space="preserve">AIRES, Jussara Danielle Martins. </w:t>
      </w:r>
      <w:r>
        <w:rPr>
          <w:b/>
          <w:i w:val="0"/>
        </w:rPr>
        <w:t xml:space="preserve">Histórias e relatos sobre Pipa</w:t>
      </w:r>
      <w:r>
        <w:rPr>
          <w:b w:val="0"/>
          <w:i w:val="0"/>
        </w:rPr>
        <w:t xml:space="preserve">: a praia internacional do Rio Grande do Norte. 2012. 114 f. Dissertação (Mestrado em Ciências Sociais) – Programa de Pós-Graduação em Ciências Sociais, Universidade Federal do Rio Grande do Norte, Natal, 2012.</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Conselho Nacional de Educação. Câmara de Educação Básica. Resolução nº 8, de 20 de novembro de 2012. Define Diretrizes Curriculares Nacionais para a Educação Escolar Quilombola na Educação Básica. Brasília, DF: CNE, 2012.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FUNDAÇÃO CULTURAL PALMARES. Portaria nº 26, de 6 de junho de 2005. Diário Oficial da União: seção 1, Brasília, DF, 8 jun. 2005. [conferir seção, página e ementa no DOU]</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Censo Demográfico 2010</w:t>
      </w:r>
      <w:r>
        <w:rPr>
          <w:b w:val="0"/>
          <w:i w:val="0"/>
        </w:rPr>
        <w:t>: características da população e dos domicílios: resultados do universo. Rio de Janeiro: IBGE, 2011.</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Censo Demográfico 2022</w:t>
      </w:r>
      <w:r>
        <w:rPr>
          <w:b w:val="0"/>
          <w:i w:val="0"/>
        </w:rPr>
        <w:t>: população e domicílios: primeiros resultados. Rio de Janeiro: IBGE, 2023.</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Cidades@: Tibau do Sul</w:t>
      </w:r>
      <w:r>
        <w:rPr>
          <w:b w:val="0"/>
          <w:i w:val="0"/>
        </w:rPr>
        <w:t>. Rio de Janeiro: IBGE, 2025. Disponível em: https://cidades.ibge.gov.br/brasil/rn/tibau-do-sul. Acesso em: [indicar a data de acesso].</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xml:space="preserve">: a ascensão dos dados e a morte da política. Tradução de Claudio Marcondes.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Marques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TIBAU DO SUL. Lei nº 517, de 24 de junho de 2015. Aprova o Plano Municipal de Educação. Tibau do Sul: Câmara Municipal, 2015. [conferir ementa e órgão de publicação]</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