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3107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08:40; fim do slide 18 por volta de 15:20;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05:15</w:t>
            </w:r>
          </w:p>
        </w:tc>
        <w:tc>
          <w:tcPr>
            <w:tcW w:type="dxa" w:w="2408"/>
          </w:tcPr>
          <w:p>
            <w:r>
              <w:t>06:10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08:40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04:50</w:t>
            </w:r>
          </w:p>
        </w:tc>
        <w:tc>
          <w:tcPr>
            <w:tcW w:type="dxa" w:w="2408"/>
          </w:tcPr>
          <w:p>
            <w:r>
              <w:t>13:30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15:20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02:45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90 s  ·  ao final: 04:15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08:40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10:15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11:35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65 s  ·  ao final: 12:40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pPr>
        <w:pStyle w:val="Heading2"/>
      </w:pPr>
      <w:r>
        <w:t>Slide 15 · Conceitos e teóricos que guiam a tese</w:t>
      </w:r>
    </w:p>
    <w:p>
      <w:r>
        <w:rPr>
          <w:color w:val="555555"/>
          <w:sz w:val="20"/>
        </w:rPr>
        <w:t>50 s  ·  ao final: 13:30</w:t>
      </w:r>
    </w:p>
    <w:p>
      <w:r>
        <w:rPr>
          <w:i/>
          <w:color w:val="555555"/>
        </w:rPr>
        <w:t>[Apontar as cinco colunas da esquerda para a direita e, por fim, a faixa amarela.]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Reúno os conceitos e os autores que guiam a tese. A política é lida pelo ciclo de políticas, de Bowe, Ball e Gold, com Mainardes, e pela teoria da atuação de Ball, Maguire e Braun. Os profissionais, pelas culturas profissionais de Hargreaves, pela performatividade em Ball, pelo poder em Foucault e pelos sentidos em Hall. O território, por Milton Santos e Doreen Massey e pelo habitar em Schlemmer, Backes e Palagi. A cultura digital, pela participação que a lei promete e pela crítica às plataformas e aos dados, com Zuboff, Silveira, Morozov e Pretto. As crianças, pelo Comentário Geral nº 25 da ONU. Daí nascem as três formulações da tese.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93796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37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Síntese do quadro teórico em cinco frentes (política, profissionais, território, cultura digital, crianças) e as três formulações próprias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política: </w:t>
      </w:r>
      <w:r>
        <w:t>Ciclo de políticas (BOWE; BALL; GOLD, 1992; MAINARDES, 2006); atuação como interpretar e traduzir (BALL; MAGUIRE; BRAUN, 2016); recontextualização, a política "recriada" na prática (BOWE; BALL; GOLD, 1992, p. 22).</w:t>
      </w:r>
    </w:p>
    <w:p>
      <w:pPr>
        <w:pStyle w:val="ListBullet"/>
      </w:pPr>
      <w:r>
        <w:rPr>
          <w:b/>
        </w:rPr>
        <w:t xml:space="preserve">Os profissionais: </w:t>
      </w:r>
      <w:r>
        <w:t>Culturas profissionais (HARGREAVES, 2005); performatividade e fabricação (BALL, 2002; 2008); poder e resistência (FOUCAULT, 1999; BALL, 2011; FREIRE, 2019); sentidos que organizam ações (HALL, 2006).</w:t>
      </w:r>
    </w:p>
    <w:p>
      <w:pPr>
        <w:pStyle w:val="ListBullet"/>
      </w:pPr>
      <w:r>
        <w:rPr>
          <w:b/>
        </w:rPr>
        <w:t xml:space="preserve">O território: </w:t>
      </w:r>
      <w:r>
        <w:t>Território usado e rugosidades (SANTOS, 1999; 2006; 2012); lugar como encontro de trajetórias (MASSEY, 2008); habitar e Educação OnLIFE (SCHLEMMER; BACKES; PALAGI, 2021; DI FELICE, 2009).</w:t>
      </w:r>
    </w:p>
    <w:p>
      <w:pPr>
        <w:pStyle w:val="ListBullet"/>
      </w:pPr>
      <w:r>
        <w:rPr>
          <w:b/>
        </w:rPr>
        <w:t xml:space="preserve">A cultura digital: </w:t>
      </w:r>
      <w:r>
        <w:t>Contexto das tecnologias digitais, sem virar categoria de análise: participação consciente e democrática (BRASIL, 2023, art. 3º, III) e competência geral 5 da BNCC (BRASIL, 2018); capitalismo de vigilância (ZUBOFF, 2021) e dados pessoais (SILVEIRA, 2017); solucionismo (MOROZOV, 2018); sujeitos como produtores de cultura (PRETTO; CORDEIRO; OLIVEIRA, 2013). Entra no campo pelo Eixo 6 da entrevista.</w:t>
      </w:r>
    </w:p>
    <w:p>
      <w:pPr>
        <w:pStyle w:val="ListBullet"/>
      </w:pPr>
      <w:r>
        <w:rPr>
          <w:b/>
        </w:rPr>
        <w:t xml:space="preserve">As crianças: </w:t>
      </w:r>
      <w:r>
        <w:t>Provisão, proteção e participação no ambiente digital (ONU, 2021); direitos do eixo à participação e à proteção dos dados (BRASIL, 2023, art. 3º, III e IV).</w:t>
      </w:r>
    </w:p>
    <w:p>
      <w:pPr>
        <w:pStyle w:val="ListBullet"/>
      </w:pPr>
      <w:r>
        <w:rPr>
          <w:b/>
        </w:rPr>
        <w:t xml:space="preserve">Formulações da tese: </w:t>
      </w:r>
      <w:r>
        <w:t>Habitar o digital (cap. 3), rugosidade tecnológica (cap. 6) e vazio material (cap. 5).</w:t>
      </w:r>
    </w:p>
    <w:p>
      <w:r>
        <w:rPr>
          <w:b/>
        </w:rPr>
        <w:t xml:space="preserve">Autores e obras: </w:t>
      </w:r>
      <w:r>
        <w:t>Os mesmos autores dos slides 12 a 14, reunidos.</w:t>
      </w:r>
    </w:p>
    <w:p>
      <w:r>
        <w:rPr>
          <w:b/>
        </w:rPr>
        <w:t xml:space="preserve">Onde aprofundar: </w:t>
      </w:r>
      <w:r>
        <w:t>Cap. 3, seções 3.1 a 3.6.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autores de tradições diferentes conversam na tese? (o ciclo de políticas organiza; a atuação explica o contexto da prática; o território situa; os direitos das crianças dão o critério de leitura).</w:t>
      </w:r>
    </w:p>
    <w:p>
      <w:pPr>
        <w:pStyle w:val="ListBullet"/>
      </w:pPr>
      <w:r>
        <w:rPr>
          <w:i/>
        </w:rPr>
        <w:t>Por que Hall aparece entre os teóricos? (sentidos que organizam ações; aproximação declarada, slide 4).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65 s  ·  ao final: 16:35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70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