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ROTEIRO DE FALA DA QUALIFICAÇÃO</w:t>
      </w:r>
    </w:p>
    <w:p>
      <w:pPr>
        <w:jc w:val="center"/>
      </w:pPr>
      <w:r>
        <w:rPr>
          <w:i/>
        </w:rPr>
        <w:t>A encenação da PNED em Pipa/RN: culturas profissionais, território e resistências no contexto da prática</w:t>
        <w:br/>
      </w:r>
      <w:r>
        <w:t>Yzynya Silva Rezende Machado · Orientadora: Profa. Dra. Maria Cristina Leandro de Paiva</w:t>
        <w:br/>
        <w:t>Apresentação: Qualificacao_PNED_Pipa.pptx (30 lâminas, das quais as duas últimas são de referências) · Duração prevista: 25 minutos</w:t>
      </w:r>
    </w:p>
    <w:p>
      <w:pPr>
        <w:pStyle w:val="Heading1"/>
      </w:pPr>
      <w:r>
        <w:t>Como usar este roteiro</w:t>
      </w:r>
    </w:p>
    <w:p>
      <w:pPr>
        <w:pStyle w:val="ListBullet"/>
      </w:pPr>
      <w:r>
        <w:t>O texto tem 2973 palavras, o que dá cerca de 24 minutos de fala a 125 palavras por minuto, ritmo pausado. Os 1 minutos restantes ficam para as trocas de lâmina, as pausas e o tempo de apontar fotos e mapa. Se o ensaio cronometrado der mais de 26 minutos, use os cortes sugeridos no fim do documento.</w:t>
      </w:r>
    </w:p>
    <w:p>
      <w:pPr>
        <w:pStyle w:val="ListBullet"/>
      </w:pPr>
      <w:r>
        <w:t>Cada lâmina traz o tempo previsto e o tempo acumulado ao final dela. Os três pontos de controle mais úteis são: fim da lâmina 11 por volta de 09:50, fim da lâmina 18 por volta de 16:25 e fim da lâmina 25 por volta de 22:25.</w:t>
      </w:r>
    </w:p>
    <w:p>
      <w:pPr>
        <w:pStyle w:val="ListBullet"/>
      </w:pPr>
      <w:r>
        <w:t>As frases em itálico entre colchetes são indicações de cena e não devem ser lidas.</w:t>
      </w:r>
    </w:p>
    <w:p>
      <w:pPr>
        <w:pStyle w:val="ListBullet"/>
      </w:pPr>
      <w:r>
        <w:t>As citações foram mantidas como estão nos capítulos. Na fala, a referência pode ser feita pelo nome do autor, já que ano e página aparecem na lâmina.</w:t>
      </w:r>
    </w:p>
    <w:p>
      <w:pPr>
        <w:pStyle w:val="Heading1"/>
      </w:pPr>
      <w:r>
        <w:t>Mapa do tempo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FFCE32"/>
          </w:tcPr>
          <w:p>
            <w:r/>
            <w:r>
              <w:rPr>
                <w:b/>
              </w:rPr>
              <w:t>Bloco</w:t>
            </w:r>
          </w:p>
        </w:tc>
        <w:tc>
          <w:tcPr>
            <w:tcW w:type="dxa" w:w="2351"/>
            <w:shd w:val="clear" w:color="auto" w:fill="FFCE32"/>
          </w:tcPr>
          <w:p>
            <w:r/>
            <w:r>
              <w:rPr>
                <w:b/>
              </w:rPr>
              <w:t>Lâminas</w:t>
            </w:r>
          </w:p>
        </w:tc>
        <w:tc>
          <w:tcPr>
            <w:tcW w:type="dxa" w:w="2351"/>
            <w:shd w:val="clear" w:color="auto" w:fill="FFCE32"/>
          </w:tcPr>
          <w:p>
            <w:r/>
            <w:r>
              <w:rPr>
                <w:b/>
              </w:rPr>
              <w:t>Tempo</w:t>
            </w:r>
          </w:p>
        </w:tc>
        <w:tc>
          <w:tcPr>
            <w:tcW w:type="dxa" w:w="2351"/>
            <w:shd w:val="clear" w:color="auto" w:fill="FFCE32"/>
          </w:tcPr>
          <w:p>
            <w:r/>
            <w:r>
              <w:rPr>
                <w:b/>
              </w:rPr>
              <w:t>Acumulado</w:t>
            </w:r>
          </w:p>
        </w:tc>
      </w:tr>
      <w:tr>
        <w:tc>
          <w:tcPr>
            <w:tcW w:type="dxa" w:w="2351"/>
          </w:tcPr>
          <w:p>
            <w:r>
              <w:t>Abertura</w:t>
            </w:r>
          </w:p>
        </w:tc>
        <w:tc>
          <w:tcPr>
            <w:tcW w:type="dxa" w:w="2351"/>
          </w:tcPr>
          <w:p>
            <w:r>
              <w:t>1-2</w:t>
            </w:r>
          </w:p>
        </w:tc>
        <w:tc>
          <w:tcPr>
            <w:tcW w:type="dxa" w:w="2351"/>
          </w:tcPr>
          <w:p>
            <w:r>
              <w:t>00:55</w:t>
            </w:r>
          </w:p>
        </w:tc>
        <w:tc>
          <w:tcPr>
            <w:tcW w:type="dxa" w:w="2351"/>
          </w:tcPr>
          <w:p>
            <w:r>
              <w:t>00:55</w:t>
            </w:r>
          </w:p>
        </w:tc>
      </w:tr>
      <w:tr>
        <w:tc>
          <w:tcPr>
            <w:tcW w:type="dxa" w:w="2351"/>
          </w:tcPr>
          <w:p>
            <w:r>
              <w:t>Objeto, questão, objetivos e relevâncias</w:t>
            </w:r>
          </w:p>
        </w:tc>
        <w:tc>
          <w:tcPr>
            <w:tcW w:type="dxa" w:w="2351"/>
          </w:tcPr>
          <w:p>
            <w:r>
              <w:t>3-8</w:t>
            </w:r>
          </w:p>
        </w:tc>
        <w:tc>
          <w:tcPr>
            <w:tcW w:type="dxa" w:w="2351"/>
          </w:tcPr>
          <w:p>
            <w:r>
              <w:t>06:20</w:t>
            </w:r>
          </w:p>
        </w:tc>
        <w:tc>
          <w:tcPr>
            <w:tcW w:type="dxa" w:w="2351"/>
          </w:tcPr>
          <w:p>
            <w:r>
              <w:t>07:15</w:t>
            </w:r>
          </w:p>
        </w:tc>
      </w:tr>
      <w:tr>
        <w:tc>
          <w:tcPr>
            <w:tcW w:type="dxa" w:w="2351"/>
          </w:tcPr>
          <w:p>
            <w:r>
              <w:t>Revisão sistemática</w:t>
            </w:r>
          </w:p>
        </w:tc>
        <w:tc>
          <w:tcPr>
            <w:tcW w:type="dxa" w:w="2351"/>
          </w:tcPr>
          <w:p>
            <w:r>
              <w:t>9-11</w:t>
            </w:r>
          </w:p>
        </w:tc>
        <w:tc>
          <w:tcPr>
            <w:tcW w:type="dxa" w:w="2351"/>
          </w:tcPr>
          <w:p>
            <w:r>
              <w:t>02:35</w:t>
            </w:r>
          </w:p>
        </w:tc>
        <w:tc>
          <w:tcPr>
            <w:tcW w:type="dxa" w:w="2351"/>
          </w:tcPr>
          <w:p>
            <w:r>
              <w:t>09:50</w:t>
            </w:r>
          </w:p>
        </w:tc>
      </w:tr>
      <w:tr>
        <w:tc>
          <w:tcPr>
            <w:tcW w:type="dxa" w:w="2351"/>
          </w:tcPr>
          <w:p>
            <w:r>
              <w:t>Fundamentos teóricos</w:t>
            </w:r>
          </w:p>
        </w:tc>
        <w:tc>
          <w:tcPr>
            <w:tcW w:type="dxa" w:w="2351"/>
          </w:tcPr>
          <w:p>
            <w:r>
              <w:t>12-15</w:t>
            </w:r>
          </w:p>
        </w:tc>
        <w:tc>
          <w:tcPr>
            <w:tcW w:type="dxa" w:w="2351"/>
          </w:tcPr>
          <w:p>
            <w:r>
              <w:t>04:25</w:t>
            </w:r>
          </w:p>
        </w:tc>
        <w:tc>
          <w:tcPr>
            <w:tcW w:type="dxa" w:w="2351"/>
          </w:tcPr>
          <w:p>
            <w:r>
              <w:t>14:15</w:t>
            </w:r>
          </w:p>
        </w:tc>
      </w:tr>
      <w:tr>
        <w:tc>
          <w:tcPr>
            <w:tcW w:type="dxa" w:w="2351"/>
          </w:tcPr>
          <w:p>
            <w:r>
              <w:t>Metodologia</w:t>
            </w:r>
          </w:p>
        </w:tc>
        <w:tc>
          <w:tcPr>
            <w:tcW w:type="dxa" w:w="2351"/>
          </w:tcPr>
          <w:p>
            <w:r>
              <w:t>16-18</w:t>
            </w:r>
          </w:p>
        </w:tc>
        <w:tc>
          <w:tcPr>
            <w:tcW w:type="dxa" w:w="2351"/>
          </w:tcPr>
          <w:p>
            <w:r>
              <w:t>02:10</w:t>
            </w:r>
          </w:p>
        </w:tc>
        <w:tc>
          <w:tcPr>
            <w:tcW w:type="dxa" w:w="2351"/>
          </w:tcPr>
          <w:p>
            <w:r>
              <w:t>16:25</w:t>
            </w:r>
          </w:p>
        </w:tc>
      </w:tr>
      <w:tr>
        <w:tc>
          <w:tcPr>
            <w:tcW w:type="dxa" w:w="2351"/>
          </w:tcPr>
          <w:p>
            <w:r>
              <w:t>Agenda global e PNED</w:t>
            </w:r>
          </w:p>
        </w:tc>
        <w:tc>
          <w:tcPr>
            <w:tcW w:type="dxa" w:w="2351"/>
          </w:tcPr>
          <w:p>
            <w:r>
              <w:t>19-22</w:t>
            </w:r>
          </w:p>
        </w:tc>
        <w:tc>
          <w:tcPr>
            <w:tcW w:type="dxa" w:w="2351"/>
          </w:tcPr>
          <w:p>
            <w:r>
              <w:t>03:50</w:t>
            </w:r>
          </w:p>
        </w:tc>
        <w:tc>
          <w:tcPr>
            <w:tcW w:type="dxa" w:w="2351"/>
          </w:tcPr>
          <w:p>
            <w:r>
              <w:t>20:15</w:t>
            </w:r>
          </w:p>
        </w:tc>
      </w:tr>
      <w:tr>
        <w:tc>
          <w:tcPr>
            <w:tcW w:type="dxa" w:w="2351"/>
          </w:tcPr>
          <w:p>
            <w:r>
              <w:t>Território e escola</w:t>
            </w:r>
          </w:p>
        </w:tc>
        <w:tc>
          <w:tcPr>
            <w:tcW w:type="dxa" w:w="2351"/>
          </w:tcPr>
          <w:p>
            <w:r>
              <w:t>23-25</w:t>
            </w:r>
          </w:p>
        </w:tc>
        <w:tc>
          <w:tcPr>
            <w:tcW w:type="dxa" w:w="2351"/>
          </w:tcPr>
          <w:p>
            <w:r>
              <w:t>02:10</w:t>
            </w:r>
          </w:p>
        </w:tc>
        <w:tc>
          <w:tcPr>
            <w:tcW w:type="dxa" w:w="2351"/>
          </w:tcPr>
          <w:p>
            <w:r>
              <w:t>22:25</w:t>
            </w:r>
          </w:p>
        </w:tc>
      </w:tr>
      <w:tr>
        <w:tc>
          <w:tcPr>
            <w:tcW w:type="dxa" w:w="2351"/>
          </w:tcPr>
          <w:p>
            <w:r>
              <w:t>Tese e encerramento</w:t>
            </w:r>
          </w:p>
        </w:tc>
        <w:tc>
          <w:tcPr>
            <w:tcW w:type="dxa" w:w="2351"/>
          </w:tcPr>
          <w:p>
            <w:r>
              <w:t>26-28</w:t>
            </w:r>
          </w:p>
        </w:tc>
        <w:tc>
          <w:tcPr>
            <w:tcW w:type="dxa" w:w="2351"/>
          </w:tcPr>
          <w:p>
            <w:r>
              <w:t>02:35</w:t>
            </w:r>
          </w:p>
        </w:tc>
        <w:tc>
          <w:tcPr>
            <w:tcW w:type="dxa" w:w="2351"/>
          </w:tcPr>
          <w:p>
            <w:r>
              <w:t>25:00</w:t>
            </w:r>
          </w:p>
        </w:tc>
      </w:tr>
      <w:tr>
        <w:tc>
          <w:tcPr>
            <w:tcW w:type="dxa" w:w="2351"/>
          </w:tcPr>
          <w:p>
            <w:r>
              <w:t>Referências</w:t>
            </w:r>
          </w:p>
        </w:tc>
        <w:tc>
          <w:tcPr>
            <w:tcW w:type="dxa" w:w="2351"/>
          </w:tcPr>
          <w:p>
            <w:r>
              <w:t>29-30</w:t>
            </w:r>
          </w:p>
        </w:tc>
        <w:tc>
          <w:tcPr>
            <w:tcW w:type="dxa" w:w="2351"/>
          </w:tcPr>
          <w:p>
            <w:r>
              <w:t>00:00</w:t>
            </w:r>
          </w:p>
        </w:tc>
        <w:tc>
          <w:tcPr>
            <w:tcW w:type="dxa" w:w="2351"/>
          </w:tcPr>
          <w:p>
            <w:r>
              <w:t>25:00</w:t>
            </w:r>
          </w:p>
        </w:tc>
      </w:tr>
      <w:tr>
        <w:tc>
          <w:tcPr>
            <w:tcW w:type="dxa" w:w="2351"/>
          </w:tcPr>
          <w:p>
            <w:r/>
            <w:r>
              <w:rPr>
                <w:b/>
              </w:rPr>
              <w:t>Total</w:t>
            </w:r>
          </w:p>
        </w:tc>
        <w:tc>
          <w:tcPr>
            <w:tcW w:type="dxa" w:w="2351"/>
          </w:tcPr>
          <w:p>
            <w:r/>
            <w:r>
              <w:rPr>
                <w:b/>
              </w:rPr>
              <w:t>1-30</w:t>
            </w:r>
          </w:p>
        </w:tc>
        <w:tc>
          <w:tcPr>
            <w:tcW w:type="dxa" w:w="2351"/>
          </w:tcPr>
          <w:p>
            <w:r/>
            <w:r>
              <w:rPr>
                <w:b/>
              </w:rPr>
              <w:t>25:00</w:t>
            </w:r>
          </w:p>
        </w:tc>
        <w:tc>
          <w:tcPr>
            <w:tcW w:type="dxa" w:w="2351"/>
          </w:tcPr>
          <w:p>
            <w:r/>
            <w:r>
              <w:rPr>
                <w:b/>
              </w:rPr>
            </w:r>
          </w:p>
        </w:tc>
      </w:tr>
    </w:tbl>
    <w:p>
      <w:pPr>
        <w:pStyle w:val="Heading1"/>
      </w:pPr>
      <w:r>
        <w:t>Fala, lâmina por lâmina</w:t>
      </w:r>
    </w:p>
    <w:p>
      <w:pPr>
        <w:pStyle w:val="Heading1"/>
      </w:pPr>
      <w:r>
        <w:t>ABERTURA</w:t>
      </w:r>
    </w:p>
    <w:p>
      <w:pPr>
        <w:pStyle w:val="Heading2"/>
      </w:pPr>
      <w:r>
        <w:t>Lâmina 1 · Capa</w:t>
      </w:r>
    </w:p>
    <w:p>
      <w:r>
        <w:rPr>
          <w:color w:val="666666"/>
          <w:sz w:val="20"/>
        </w:rPr>
        <w:t>30 s  ·  ao final: 00:30</w:t>
      </w:r>
    </w:p>
    <w:p>
      <w:r>
        <w:rPr>
          <w:i/>
          <w:color w:val="555555"/>
        </w:rPr>
        <w:t>[Apontar a foto da fachada ao dizer o nome da escola.]</w:t>
      </w:r>
    </w:p>
    <w:p>
      <w:pPr>
        <w:jc w:val="both"/>
      </w:pPr>
      <w:r>
        <w:t>Bom dia (ou boa tarde) a todas e a todos. Agradeço à banca pela leitura cuidadosa do texto e à professora Maria Cristina Leandro de Paiva pela orientação. Apresento o projeto de tese A encenação da PNED em Pipa/RN: culturas profissionais, território e resistências no contexto da prática. A fotografia é da entrada da Escola Municipal Domitila Castelo da Silva, onde a pesquisa acontece.</w:t>
      </w:r>
    </w:p>
    <w:p>
      <w:pPr>
        <w:pStyle w:val="Heading2"/>
      </w:pPr>
      <w:r>
        <w:t>Lâmina 2 · Roteiro</w:t>
      </w:r>
    </w:p>
    <w:p>
      <w:r>
        <w:rPr>
          <w:color w:val="666666"/>
          <w:sz w:val="20"/>
        </w:rPr>
        <w:t>25 s  ·  ao final: 00:55</w:t>
      </w:r>
    </w:p>
    <w:p>
      <w:r>
        <w:rPr>
          <w:i/>
          <w:color w:val="555555"/>
        </w:rPr>
        <w:t>[Apontar os seis cartões em sequência.]</w:t>
      </w:r>
    </w:p>
    <w:p>
      <w:pPr>
        <w:jc w:val="both"/>
      </w:pPr>
      <w:r>
        <w:t>A apresentação segue a ordem do texto. Começo pelo objeto, pela questão e pelos objetivos. Passo à revisão sistemática, aos fundamentos teóricos e à metodologia. Depois trago a leitura da agenda global e da PNED e, por fim, o território e a escola, que me levam à tese de partida e aos próximos passos.</w:t>
      </w:r>
    </w:p>
    <w:p>
      <w:pPr>
        <w:pStyle w:val="Heading1"/>
      </w:pPr>
      <w:r>
        <w:t>OBJETO, QUESTÃO, OBJETIVOS E RELEVÂNCIAS</w:t>
      </w:r>
    </w:p>
    <w:p>
      <w:pPr>
        <w:pStyle w:val="Heading2"/>
      </w:pPr>
      <w:r>
        <w:t>Lâmina 3 · Objeto</w:t>
      </w:r>
    </w:p>
    <w:p>
      <w:r>
        <w:rPr>
          <w:color w:val="666666"/>
          <w:sz w:val="20"/>
        </w:rPr>
        <w:t>70 s  ·  ao final: 02:05</w:t>
      </w:r>
    </w:p>
    <w:p>
      <w:pPr>
        <w:jc w:val="both"/>
      </w:pPr>
      <w:r>
        <w:t>O objeto desta tese é a Política Nacional de Educação Digital, instituída pela Lei nº 14.533, de 2023, no eixo que chega às escolas, a Educação Digital Escolar. Interessa-me o modo como os profissionais da educação interpretam, traduzem e recontextualizam essa política nos anos iniciais, do 1º ao 5º ano, da Escola Municipal Domitila Castelo da Silva, em Pipa, distrito de Tibau do Sul. Chamo de profissionais da educação todas as pessoas que, na escola, participam da construção da política: professoras e professores, coordenação pedagógica, direção e demais profissionais ligados aos processos pedagógicos ou à educação digital. Trabalho com a ideia de Ball, Maguire e Braun de que as atuações são coletivas, criativas e limitadas. A pergunta nasceu da convivência com esse território, onde trabalho há dezoito anos na rede municipal.</w:t>
      </w:r>
    </w:p>
    <w:p>
      <w:pPr>
        <w:pStyle w:val="Heading2"/>
      </w:pPr>
      <w:r>
        <w:t>Lâmina 4 · Questão de pesquisa</w:t>
      </w:r>
    </w:p>
    <w:p>
      <w:r>
        <w:rPr>
          <w:color w:val="666666"/>
          <w:sz w:val="20"/>
        </w:rPr>
        <w:t>60 s  ·  ao final: 03:05</w:t>
      </w:r>
    </w:p>
    <w:p>
      <w:r>
        <w:rPr>
          <w:i/>
          <w:color w:val="555555"/>
        </w:rPr>
        <w:t>[Ler a pergunta devagar, acompanhando a lâmina. Pausa antes da última frase.]</w:t>
      </w:r>
    </w:p>
    <w:p>
      <w:pPr>
        <w:jc w:val="both"/>
      </w:pPr>
      <w:r>
        <w:t>Daí a questão que orienta a pesquisa. Como os profissionais da educação encenam e recontextualizam a Política Nacional de Educação Digital no contexto da prática da Escola Municipal Domitila Castelo da Silva, em Pipa, e como as culturas profissionais, as condições materiais e institucionais da escola e as especificidades socioespaciais do território atravessam esse processo, produzindo diferentes formas de atuação, entre as quais podem emergir acomodações, negociações, ressignificações e resistências? Formulei a pergunta para manter aberto o seu resultado. Ainda não sabemos se a PNED será acolhida, adaptada, posta de lado ou contestada. A resistência, que está no título, entra como possibilidade a examinar nos dados, sem ser pressuposta.</w:t>
      </w:r>
    </w:p>
    <w:p>
      <w:pPr>
        <w:pStyle w:val="Heading2"/>
      </w:pPr>
      <w:r>
        <w:t>Lâmina 5 · Objetivos</w:t>
      </w:r>
    </w:p>
    <w:p>
      <w:r>
        <w:rPr>
          <w:color w:val="666666"/>
          <w:sz w:val="20"/>
        </w:rPr>
        <w:t>90 s  ·  ao final: 04:35</w:t>
      </w:r>
    </w:p>
    <w:p>
      <w:r>
        <w:rPr>
          <w:i/>
          <w:color w:val="555555"/>
        </w:rPr>
        <w:t>[Destacar o verbo de cada objetivo: compreender, analisar, identificar, discutir.]</w:t>
      </w:r>
    </w:p>
    <w:p>
      <w:pPr>
        <w:jc w:val="both"/>
      </w:pPr>
      <w:r>
        <w:t>O objetivo geral é analisar como os profissionais da educação encenam e recontextualizam a Política Nacional de Educação Digital no contexto da prática da Escola Municipal Domitila Castelo da Silva, em Pipa, considerando as relações entre a política, as culturas profissionais, as condições materiais e institucionais da escola e as especificidades socioespaciais do território. Os objetivos específicos acompanham o caminho que a política percorre até as crianças. O primeiro é compreender como os diferentes profissionais da educação interpretam os textos da PNED e os discursos sobre educação digital, considerando suas experiências, crenças, valores e formas de organização do trabalho. O segundo, analisar como as condições materiais e institucionais da escola, articuladas às especificidades socioespaciais do território, atravessam a tradução e a recontextualização da PNED em ações, escolhas e práticas cotidianas. O terceiro, identificar as diferentes formas de atuação produzidas diante da política, com atenção às situações em que emergem adesão, acomodação, adaptação, omissão seletiva, negociação, ressignificação ou resistência. O quarto, discutir as implicações dessas formas de encenação para a educação digital das crianças, considerando a provisão, a proteção e a participação no ambiente digital.</w:t>
      </w:r>
    </w:p>
    <w:p>
      <w:pPr>
        <w:pStyle w:val="Heading2"/>
      </w:pPr>
      <w:r>
        <w:t>Lâmina 6 · Por que agora?</w:t>
      </w:r>
    </w:p>
    <w:p>
      <w:r>
        <w:rPr>
          <w:color w:val="666666"/>
          <w:sz w:val="20"/>
        </w:rPr>
        <w:t>50 s  ·  ao final: 05:25</w:t>
      </w:r>
    </w:p>
    <w:p>
      <w:r>
        <w:rPr>
          <w:i/>
          <w:color w:val="555555"/>
        </w:rPr>
        <w:t>[Percorrer os cartões da esquerda para a direita e terminar no cartão claro, "2026".]</w:t>
      </w:r>
    </w:p>
    <w:p>
      <w:pPr>
        <w:jc w:val="both"/>
      </w:pPr>
      <w:r>
        <w:t>Por que pesquisar isso agora? A linha do tempo responde. Em janeiro de 2023, a lei institui a PNED. Em dezembro, com a derrubada do veto, a educação digital passa a ser componente curricular do ensino fundamental. Em março de 2025, a Resolução CNE/CEB nº 2 prevê a implementação curricular a partir de 2026. Em março de 2026 entra em vigor o Estatuto Digital da Criança e do Adolescente, e em abril é aprovado o novo Plano Nacional de Educação. A pesquisa acontece quando essas normas começam a chegar juntas às escolas. Como lembram Bowe, Ball e Gold, no contexto da prática a política está sujeita à interpretação e é recriada.</w:t>
      </w:r>
    </w:p>
    <w:p>
      <w:pPr>
        <w:pStyle w:val="Heading2"/>
      </w:pPr>
      <w:r>
        <w:t>Lâmina 7 · Relevâncias da pesquisa</w:t>
      </w:r>
    </w:p>
    <w:p>
      <w:r>
        <w:rPr>
          <w:color w:val="666666"/>
          <w:sz w:val="20"/>
        </w:rPr>
        <w:t>60 s  ·  ao final: 06:25</w:t>
      </w:r>
    </w:p>
    <w:p>
      <w:pPr>
        <w:jc w:val="both"/>
      </w:pPr>
      <w:r>
        <w:t>Vejo cinco relevâncias nesta pesquisa. Para as crianças, porque o eixo lhes promete participação consciente e democrática e proteção dos dados, e, nos anos iniciais, a escola pode ser o primeiro espaço público em que o digital é discutido com alguém responsável pelo ensino. Para os profissionais, porque olhamos a política a partir de quem a faz acontecer, sem cobrar de cada um o que só o desenho da política poderia garantir. Para o território, porque em Pipa o mesmo distrito reúne uso econômico intenso das tecnologias e salas de aula sem telas. Para a ciência, porque a PNED é lida pelo contexto da prática, com contribuições às políticas educacionais, à educação digital e aos direitos das crianças. E para a rede, que receberá a devolutiva dos resultados.</w:t>
      </w:r>
    </w:p>
    <w:p>
      <w:pPr>
        <w:pStyle w:val="Heading2"/>
      </w:pPr>
      <w:r>
        <w:t>Lâmina 8 · Ineditismo</w:t>
      </w:r>
    </w:p>
    <w:p>
      <w:r>
        <w:rPr>
          <w:color w:val="666666"/>
          <w:sz w:val="20"/>
        </w:rPr>
        <w:t>50 s  ·  ao final: 07:15</w:t>
      </w:r>
    </w:p>
    <w:p>
      <w:pPr>
        <w:jc w:val="both"/>
      </w:pPr>
      <w:r>
        <w:t>O ineditismo aparece em três planos. No empírico-temporal, acompanhamos a chegada da PNED à escola enquanto ela acontece: nenhum dos nove estudos reunidos na revisão examina essa política, e nenhum investiga uma rede municipal de pequeno porte. No analítico-espacial, Pipa entra como parte do contexto da prática, lida com Milton Santos, para quem a categoria de análise é o território usado, e com Doreen Massey, que pensa o lugar como encontro de trajetórias. No teórico-conceitual, articulamos atuação, culturas profissionais, materialidade e território, e dessa articulação nasce a formulação habitar o digital.</w:t>
      </w:r>
    </w:p>
    <w:p>
      <w:pPr>
        <w:pStyle w:val="Heading1"/>
      </w:pPr>
      <w:r>
        <w:t>REVISÃO SISTEMÁTICA</w:t>
      </w:r>
    </w:p>
    <w:p>
      <w:pPr>
        <w:pStyle w:val="Heading2"/>
      </w:pPr>
      <w:r>
        <w:t>Lâmina 9 · Divisor: Revisão sistemática</w:t>
      </w:r>
    </w:p>
    <w:p>
      <w:r>
        <w:rPr>
          <w:color w:val="666666"/>
          <w:sz w:val="20"/>
        </w:rPr>
        <w:t>10 s  ·  ao final: 07:25</w:t>
      </w:r>
    </w:p>
    <w:p>
      <w:pPr>
        <w:jc w:val="both"/>
      </w:pPr>
      <w:r>
        <w:t>Passo agora ao segundo capítulo, a revisão sistemática da literatura.</w:t>
      </w:r>
    </w:p>
    <w:p>
      <w:pPr>
        <w:pStyle w:val="Heading2"/>
      </w:pPr>
      <w:r>
        <w:t>Lâmina 10 · Percurso e respostas da revisão</w:t>
      </w:r>
    </w:p>
    <w:p>
      <w:r>
        <w:rPr>
          <w:color w:val="666666"/>
          <w:sz w:val="20"/>
        </w:rPr>
        <w:t>60 s  ·  ao final: 08:25</w:t>
      </w:r>
    </w:p>
    <w:p>
      <w:pPr>
        <w:jc w:val="both"/>
      </w:pPr>
      <w:r>
        <w:t>A revisão partiu de uma pergunta: o que a produção científica evidencia sobre a implementação de políticas públicas de educação digital nos anos iniciais do Ensino Fundamental? Seguimos a declaração PRISMA 2020, estruturamos a questão pelo modelo PICo e fizemos a síntese temática proposta por Thomas e Harden. As sete bases retornaram 176 registros; avaliamos 35 textos completos e chegamos a nove estudos, publicados entre 2021 e 2024. Os condicionantes incluem, além de equipamentos e conectividade, formação continuada, estabilidade das equipes, tempo de trabalho e o próprio marco regulatório. O papel dos profissionais recebeu a resposta mais convergente: a política é feita de interpretação e de decisões situadas. Os sentidos de cultura digital e de formação cidadã têm apoio frágil.</w:t>
      </w:r>
    </w:p>
    <w:p>
      <w:pPr>
        <w:pStyle w:val="Heading2"/>
      </w:pPr>
      <w:r>
        <w:t>Lâmina 11 · O que a revisão decidiu</w:t>
      </w:r>
    </w:p>
    <w:p>
      <w:r>
        <w:rPr>
          <w:color w:val="666666"/>
          <w:sz w:val="20"/>
        </w:rPr>
        <w:t>85 s  ·  ao final: 09:50</w:t>
      </w:r>
    </w:p>
    <w:p>
      <w:r>
        <w:rPr>
          <w:i/>
          <w:color w:val="555555"/>
        </w:rPr>
        <w:t>[Ler cada linha da esquerda para a direita, seguindo a seta.]</w:t>
      </w:r>
    </w:p>
    <w:p>
      <w:pPr>
        <w:jc w:val="both"/>
      </w:pPr>
      <w:r>
        <w:t>A revisão orientou decisões da tese, e esta lâmina mostra cada uma delas. Os estudos tratam os anos iniciais em bloco e quase não delimitam o ciclo de alfabetização; por isso, a tese delimita o 1º ao 5º ano, com esse ciclo incluído. Nenhum estudo examina a PNED nem uma rede municipal de pequeno porte; a tese toma o eixo Educação Digital Escolar como objeto, na rede de Tibau do Sul. Predominam respostas emergenciais à pandemia; a tese estuda a política no funcionamento ordinário da escola. O corpus mostra que as condições vão além do equipamento e que os profissionais interpretam a política, e daí nasce a pergunta sobre o que eles fazem quando a condição anunciada não chega. Cultura digital e formação cidadã têm apoio frágil, e as crianças não aparecem como sujeitos; o tema será tratado de modo exploratório, ouvindo os profissionais, sem avaliar efeitos sobre as crianças. Por fim, os três eixos da revisão serviram de referência para o questionário e as entrevistas, sem virar categorias fechadas.</w:t>
      </w:r>
    </w:p>
    <w:p>
      <w:pPr>
        <w:pStyle w:val="Heading1"/>
      </w:pPr>
      <w:r>
        <w:t>FUNDAMENTOS TEÓRICOS</w:t>
      </w:r>
    </w:p>
    <w:p>
      <w:pPr>
        <w:pStyle w:val="Heading2"/>
      </w:pPr>
      <w:r>
        <w:t>Lâmina 12 · Divisor: Fundamentos teóricos</w:t>
      </w:r>
    </w:p>
    <w:p>
      <w:r>
        <w:rPr>
          <w:color w:val="666666"/>
          <w:sz w:val="20"/>
        </w:rPr>
        <w:t>10 s  ·  ao final: 10:00</w:t>
      </w:r>
    </w:p>
    <w:p>
      <w:pPr>
        <w:jc w:val="both"/>
      </w:pPr>
      <w:r>
        <w:t>Com essas escolhas feitas, passo aos fundamentos teóricos, que acompanham a política do texto ao ato.</w:t>
      </w:r>
    </w:p>
    <w:p>
      <w:pPr>
        <w:pStyle w:val="Heading2"/>
      </w:pPr>
      <w:r>
        <w:t>Lâmina 13 · Do texto ao ato</w:t>
      </w:r>
    </w:p>
    <w:p>
      <w:r>
        <w:rPr>
          <w:color w:val="666666"/>
          <w:sz w:val="20"/>
        </w:rPr>
        <w:t>85 s  ·  ao final: 11:25</w:t>
      </w:r>
    </w:p>
    <w:p>
      <w:r>
        <w:rPr>
          <w:i/>
          <w:color w:val="555555"/>
        </w:rPr>
        <w:t>[Seguir as setas: influência, produção do texto, prática.]</w:t>
      </w:r>
    </w:p>
    <w:p>
      <w:pPr>
        <w:jc w:val="both"/>
      </w:pPr>
      <w:r>
        <w:t>O capítulo 3 organiza a teoria pelo caminho da política. A Abordagem do Ciclo de Políticas, de Bowe, Ball e Gold, sistematizada no Brasil por Mainardes, entende a política como processo contínuo, em que formulação e prática se influenciam. No contexto de influência, agendas e discursos disputam as finalidades da educação digital. No contexto da produção do texto, essas disputas ganham forma na Lei nº 14.533 e na Resolução CNE/CEB nº 2, e ali se lê o que a lei pede e com que meios. Esses dois contextos são examinados no capítulo 5. No contexto da prática, a política é posta em ato, e é aqui que entra a teoria da atuação de Ball, Maguire e Braun, com quatro dimensões: a situada, que traz Pipa e a história da escola; a das culturas profissionais; a material, com prédio, equipamentos e conexão; e a externa, com as orientações da rede. Esse contexto é tratado nos capítulos 6 e 7. Como lembram Bowe, Ball e Gold, os profissionais não leem os textos da política como leitores ingênuos.</w:t>
      </w:r>
    </w:p>
    <w:p>
      <w:pPr>
        <w:pStyle w:val="Heading2"/>
      </w:pPr>
      <w:r>
        <w:t>Lâmina 14 · No contexto da prática</w:t>
      </w:r>
    </w:p>
    <w:p>
      <w:r>
        <w:rPr>
          <w:color w:val="666666"/>
          <w:sz w:val="20"/>
        </w:rPr>
        <w:t>85 s  ·  ao final: 12:50</w:t>
      </w:r>
    </w:p>
    <w:p>
      <w:pPr>
        <w:jc w:val="both"/>
      </w:pPr>
      <w:r>
        <w:t>Dentro do contexto da prática, três noções ajudam a entender o que acontece com a política. As culturas profissionais filtram a leitura. Com Hargreaves, são crenças, valores, hábitos e formas de fazer das comunidades de professores, que podem tomar a forma do individualismo, da colaboração, da colegialidade artificial ou da balcanização. O que uma equipe considera um bom trabalho pesa sobre o que será priorizado. A performatividade pressiona. Ball a descreve como prestação de contas feita de julgamentos, comparações e exposições, e chama de fabricação a escola produzida para ser vista. Se a PNED traz essas exigências à escola é questão para os dados. As relações de poder tensionam. Com Foucault, o poder não é unívoco e tem focos de instabilidade; por isso as formas de atuação vão da adesão à resistência, sem que nenhuma seja pressuposta. Ball adverte contra culpar a escola e contra heroicizar os sujeitos, e Freire lembra que, sem condições favoráveis, o professor se move menos eficazmente no espaço pedagógico.</w:t>
      </w:r>
    </w:p>
    <w:p>
      <w:pPr>
        <w:pStyle w:val="Heading2"/>
      </w:pPr>
      <w:r>
        <w:t>Lâmina 15 · Onde a política é posta em ato</w:t>
      </w:r>
    </w:p>
    <w:p>
      <w:r>
        <w:rPr>
          <w:color w:val="666666"/>
          <w:sz w:val="20"/>
        </w:rPr>
        <w:t>85 s  ·  ao final: 14:15</w:t>
      </w:r>
    </w:p>
    <w:p>
      <w:r>
        <w:rPr>
          <w:i/>
          <w:color w:val="555555"/>
        </w:rPr>
        <w:t>[Ler devagar a definição no cartão da direita.]</w:t>
      </w:r>
    </w:p>
    <w:p>
      <w:pPr>
        <w:jc w:val="both"/>
      </w:pPr>
      <w:r>
        <w:t>Falta dizer onde a política é posta em ato. Com Milton Santos, a categoria de análise é o território usado, e as rugosidades são o que fica do passado como forma e paisagem. Com Doreen Massey, o lugar é um encontro de trajetórias. Pipa é esse lugar, e as crianças da escola vêm de famílias de moradores antigos, de migrantes, de estrangeiros e de pessoas ligadas ao turismo. Desse diálogo, somado à tradição do habitar em Schlemmer, Backes e Palagi e em Di Felice, nasce a formulação própria da tese: habitar o digital designa as maneiras pelas quais as tecnologias digitais atravessam os espaços, as relações e as práticas cotidianas de um território, produzindo possibilidades desiguais de acesso, participação e apropriação. As plataformas e os dados, discutidos com Zuboff, Silveira, Morozov e Pretto, entram como contexto da proteção e da participação das crianças e chegam ao campo pelo eixo 6 da entrevista. A formulação será confrontada com os dados e poderá ser revista.</w:t>
      </w:r>
    </w:p>
    <w:p>
      <w:pPr>
        <w:pStyle w:val="Heading1"/>
      </w:pPr>
      <w:r>
        <w:t>METODOLOGIA</w:t>
      </w:r>
    </w:p>
    <w:p>
      <w:pPr>
        <w:pStyle w:val="Heading2"/>
      </w:pPr>
      <w:r>
        <w:t>Lâmina 16 · Divisor: Metodologia</w:t>
      </w:r>
    </w:p>
    <w:p>
      <w:r>
        <w:rPr>
          <w:color w:val="666666"/>
          <w:sz w:val="20"/>
        </w:rPr>
        <w:t>10 s  ·  ao final: 14:25</w:t>
      </w:r>
    </w:p>
    <w:p>
      <w:pPr>
        <w:jc w:val="both"/>
      </w:pPr>
      <w:r>
        <w:t>Vejamos como esse quadro se converte em procedimentos, no capítulo 4.</w:t>
      </w:r>
    </w:p>
    <w:p>
      <w:pPr>
        <w:pStyle w:val="Heading2"/>
      </w:pPr>
      <w:r>
        <w:t>Lâmina 17 · Desenho e participantes</w:t>
      </w:r>
    </w:p>
    <w:p>
      <w:r>
        <w:rPr>
          <w:color w:val="666666"/>
          <w:sz w:val="20"/>
        </w:rPr>
        <w:t>60 s  ·  ao final: 15:25</w:t>
      </w:r>
    </w:p>
    <w:p>
      <w:pPr>
        <w:jc w:val="both"/>
      </w:pPr>
      <w:r>
        <w:t>A pesquisa é qualitativa e interpretativa, como a define Minayo, e se organiza como estudo de caso, nos termos de Yin. A Secretaria Municipal de Educação entra como dimensão complementar do contexto externo. Não faremos observação de sala de aula, delimitação que Ball, Maguire e Braun também adotaram, e a análise será temática reflexiva, com Braun e Clarke. Podem participar 24 profissionais da escola: o diretor, a vice-diretora, a coordenadora pedagógica, quatro profissionais do apoio pedagógico, quinze regentes e dois que atuam no apoio à recomposição de aula, além de um técnico da Secretaria. A escola tem 351 crianças em quinze turmas, e elas não participam da produção de dados.</w:t>
      </w:r>
    </w:p>
    <w:p>
      <w:pPr>
        <w:pStyle w:val="Heading2"/>
      </w:pPr>
      <w:r>
        <w:t>Lâmina 18 · Construção dos dados</w:t>
      </w:r>
    </w:p>
    <w:p>
      <w:r>
        <w:rPr>
          <w:color w:val="666666"/>
          <w:sz w:val="20"/>
        </w:rPr>
        <w:t>60 s  ·  ao final: 16:25</w:t>
      </w:r>
    </w:p>
    <w:p>
      <w:pPr>
        <w:jc w:val="both"/>
      </w:pPr>
      <w:r>
        <w:t>Os dados serão construídos em cinco movimentos. O primeiro é a análise documental, da lei e da resolução de 2025 ao Projeto Político-Pedagógico, aos planos, às atas e aos registros da Secretaria. O segundo é o registro iconográfico, com 38 imagens da escola e do Museu Digital de Pipa, já realizado. O terceiro é o questionário de perfil e primeiras percepções; o quarto, as entrevistas semiestruturadas, de 60 a 90 minutos; o quinto reúne as fontes na análise e devolve os resultados à escola e à Secretaria. A pesquisa vai ao Comitê de Ética como emenda ao protocolo já aprovado, com Termo de Consentimento, pseudônimos e as Resoluções 466 e 510, e o campo ocupa dez semanas depois da aprovação.</w:t>
      </w:r>
    </w:p>
    <w:p>
      <w:pPr>
        <w:pStyle w:val="Heading1"/>
      </w:pPr>
      <w:r>
        <w:t>AGENDA GLOBAL E PNED</w:t>
      </w:r>
    </w:p>
    <w:p>
      <w:pPr>
        <w:pStyle w:val="Heading2"/>
      </w:pPr>
      <w:r>
        <w:t>Lâmina 19 · Divisor: Agenda global e PNED</w:t>
      </w:r>
    </w:p>
    <w:p>
      <w:r>
        <w:rPr>
          <w:color w:val="666666"/>
          <w:sz w:val="20"/>
        </w:rPr>
        <w:t>10 s  ·  ao final: 16:35</w:t>
      </w:r>
    </w:p>
    <w:p>
      <w:pPr>
        <w:jc w:val="both"/>
      </w:pPr>
      <w:r>
        <w:t>O capítulo 5 lê os contextos de influência e de produção do texto.</w:t>
      </w:r>
    </w:p>
    <w:p>
      <w:pPr>
        <w:pStyle w:val="Heading2"/>
      </w:pPr>
      <w:r>
        <w:t>Lâmina 20 · O que outros territórios nos ensinam</w:t>
      </w:r>
    </w:p>
    <w:p>
      <w:r>
        <w:rPr>
          <w:color w:val="666666"/>
          <w:sz w:val="20"/>
        </w:rPr>
        <w:t>75 s  ·  ao final: 17:50</w:t>
      </w:r>
    </w:p>
    <w:p>
      <w:r>
        <w:rPr>
          <w:i/>
          <w:color w:val="555555"/>
        </w:rPr>
        <w:t>[Apontar no mapa cada país citado; não ler a lista inteira.]</w:t>
      </w:r>
    </w:p>
    <w:p>
      <w:pPr>
        <w:jc w:val="both"/>
      </w:pPr>
      <w:r>
        <w:t>O capítulo começa pelas agendas da UNESCO, da OCDE e do Banco Mundial, que, com suas diferenças, deslocam o foco da presença dos recursos para as condições, os usos e as finalidades. Em seguida, compara experiências de outros territórios. O mapa reúne nove casos nas Américas, dez na Europa e o Brasil em destaque, e a cor indica a categoria principal que cada experiência informa. Na lista ao lado está o foco de cada política. Nos Estados Unidos, os fossos de acesso, desenho e uso; no Uruguai, o Plan Ceibal, com acesso universal e continuidade entre governos; na Argentina, três reversões normativas em quinze anos. Na Europa, a União Europeia oferece referenciais comuns e uma estratégia de proteção infantil; a Alemanha mostra que recursos não substituem a coordenação entre escalas; e a Finlândia delega ao município a decisão sobre o uso das tecnologias, cadeia parecida com a que acompanhamos em Tibau do Sul.</w:t>
      </w:r>
    </w:p>
    <w:p>
      <w:pPr>
        <w:pStyle w:val="Heading2"/>
      </w:pPr>
      <w:r>
        <w:t>Lâmina 21 · O que a comparação traz para a tese</w:t>
      </w:r>
    </w:p>
    <w:p>
      <w:r>
        <w:rPr>
          <w:color w:val="666666"/>
          <w:sz w:val="20"/>
        </w:rPr>
        <w:t>75 s  ·  ao final: 19:05</w:t>
      </w:r>
    </w:p>
    <w:p>
      <w:r>
        <w:rPr>
          <w:i/>
          <w:color w:val="555555"/>
        </w:rPr>
        <w:t>[As cores dos cartões são as mesmas do mapa.]</w:t>
      </w:r>
    </w:p>
    <w:p>
      <w:pPr>
        <w:jc w:val="both"/>
      </w:pPr>
      <w:r>
        <w:t>O que essa comparação traz para a tese? Das recorrências e das diferenças saem cinco categorias sensibilizadoras, que vão orientar a leitura do campo. A governança, porque coordenar escalas faz parte da política, e perguntaremos o que chega da União e do estado à rede e o que a Secretaria repassa à escola. A formação, porque a mediação dos profissionais é condição do uso, e perguntaremos que formação chegou e quando. A infraestrutura, condição relevante e insuficiente, que leva à pergunta sobre os equipamentos com que se trabalha. A continuidade institucional, que leva à história da rede municipal. E a cultura digital, ligada à cidadania e à proteção, que pergunta o que se faz com crianças de seis a dez anos. Nenhuma experiência descreve Pipa, e fica a pergunta que nenhum caso responde: o que acontece quando a PNED chega a uma escola onde parte dessas condições não está garantida?</w:t>
      </w:r>
    </w:p>
    <w:p>
      <w:pPr>
        <w:pStyle w:val="Heading2"/>
      </w:pPr>
      <w:r>
        <w:t>Lâmina 22 · A PNED e o vazio material</w:t>
      </w:r>
    </w:p>
    <w:p>
      <w:r>
        <w:rPr>
          <w:color w:val="666666"/>
          <w:sz w:val="20"/>
        </w:rPr>
        <w:t>70 s  ·  ao final: 20:15</w:t>
      </w:r>
    </w:p>
    <w:p>
      <w:r>
        <w:rPr>
          <w:i/>
          <w:color w:val="555555"/>
        </w:rPr>
        <w:t>[Mostrar o cartão da esquerda e depois o da direita; pausa em "vazio material".]</w:t>
      </w:r>
    </w:p>
    <w:p>
      <w:pPr>
        <w:jc w:val="both"/>
      </w:pPr>
      <w:r>
        <w:t>A leitura da lei mostrou o ponto que considero mais frágil. De um lado está a exigência: a educação digital é componente curricular obrigatório desde a derrubada do veto, e a resolução de 2025 marcou a implementação para 2026. A formação aparece como ação de promoção. Do outro lado estão os meios: o eixo de inclusão digital se desenvolve dentro dos limites orçamentários de cada ente, e o artigo 11 não cria fundo próprio nem transferência obrigatória aos municípios. Numa rede pequena, esse desenho abre espaço para o que chamamos de vazio material: a exigência tem data, e os meios dependem da capacidade de cada rede. Trato isso como proposição a verificar. Para separar o desenho da lei da capacidade fiscal do município, ainda preciso reunir os dados de receita e de gasto em educação de Tibau do Sul.</w:t>
      </w:r>
    </w:p>
    <w:p>
      <w:pPr>
        <w:pStyle w:val="Heading1"/>
      </w:pPr>
      <w:r>
        <w:t>TERRITÓRIO E ESCOLA</w:t>
      </w:r>
    </w:p>
    <w:p>
      <w:pPr>
        <w:pStyle w:val="Heading2"/>
      </w:pPr>
      <w:r>
        <w:t>Lâmina 23 · Divisor: Território e escola</w:t>
      </w:r>
    </w:p>
    <w:p>
      <w:r>
        <w:rPr>
          <w:color w:val="666666"/>
          <w:sz w:val="20"/>
        </w:rPr>
        <w:t>10 s  ·  ao final: 20:25</w:t>
      </w:r>
    </w:p>
    <w:p>
      <w:pPr>
        <w:jc w:val="both"/>
      </w:pPr>
      <w:r>
        <w:t>Chego ao capítulo 6, que desloca o olhar para o território e a escola.</w:t>
      </w:r>
    </w:p>
    <w:p>
      <w:pPr>
        <w:pStyle w:val="Heading2"/>
      </w:pPr>
      <w:r>
        <w:t>Lâmina 24 · Pipa</w:t>
      </w:r>
    </w:p>
    <w:p>
      <w:r>
        <w:rPr>
          <w:color w:val="666666"/>
          <w:sz w:val="20"/>
        </w:rPr>
        <w:t>60 s  ·  ao final: 21:25</w:t>
      </w:r>
    </w:p>
    <w:p>
      <w:r>
        <w:rPr>
          <w:i/>
          <w:color w:val="555555"/>
        </w:rPr>
        <w:t>[Apontar as fotos da esquerda para a direita.]</w:t>
      </w:r>
    </w:p>
    <w:p>
      <w:pPr>
        <w:jc w:val="both"/>
      </w:pPr>
      <w:r>
        <w:t>Nos anos 1970, Pipa era uma comunidade agrícola e pesqueira, sem energia elétrica, água encanada e boas vias de acesso. A partir de meados daquela década chegaram os surfistas, e a divulgação mais intensa nos anos 1990 trouxe turistas de várias partes do mundo, como reconstitui Aires. As fotografias mostram essa passagem: a construção artesanal de uma embarcação, um grupo de surfistas em abril de 1991 e a vista aérea atual, com pousadas e restaurantes que se vendem pela internet. Aires observa que a população nativa não foi passiva e que muitas paisagens ainda revelam materialidades de tempos passados, o que aproxima a história do distrito da noção de rugosidade. Massey nos impede de ler a distância entre escola e polo turístico como atraso: os dois são contemporâneos.</w:t>
      </w:r>
    </w:p>
    <w:p>
      <w:pPr>
        <w:pStyle w:val="Heading2"/>
      </w:pPr>
      <w:r>
        <w:t>Lâmina 25 · A escola</w:t>
      </w:r>
    </w:p>
    <w:p>
      <w:r>
        <w:rPr>
          <w:color w:val="666666"/>
          <w:sz w:val="20"/>
        </w:rPr>
        <w:t>60 s  ·  ao final: 22:25</w:t>
      </w:r>
    </w:p>
    <w:p>
      <w:pPr>
        <w:jc w:val="both"/>
      </w:pPr>
      <w:r>
        <w:t>Na escola, o laboratório de informática foi fotografado com os equipamentos desligados. A imagem não diz há quanto tempo o espaço está assim nem por quê; essas perguntas ficam para as demais fontes. Segundo informação preliminar, ainda a confirmar no documento de aquisição, os computadores foram comprados pela Prefeitura em 2022, pouco antes da lei. Nas salas fotografadas não havia nenhum dispositivo, e as crianças se alfabetizam com um alfabeto móvel feito à mão. A política nacional encontra equipamentos de uma iniciativa municipal anterior e lhes atribui nova função. Chamamos essa situação de rugosidade tecnológica, com Santos, para quem a forma permanece aguardando o próximo movimento dinâmico da sociedade. Trato cada imagem como registro da configuração material visível naquele momento, sem valor de prova sobre as práticas dos profissionais.</w:t>
      </w:r>
    </w:p>
    <w:p>
      <w:pPr>
        <w:pStyle w:val="Heading1"/>
      </w:pPr>
      <w:r>
        <w:t>TESE E ENCERRAMENTO</w:t>
      </w:r>
    </w:p>
    <w:p>
      <w:pPr>
        <w:pStyle w:val="Heading2"/>
      </w:pPr>
      <w:r>
        <w:t>Lâmina 26 · Tese de partida e formulações</w:t>
      </w:r>
    </w:p>
    <w:p>
      <w:r>
        <w:rPr>
          <w:color w:val="666666"/>
          <w:sz w:val="20"/>
        </w:rPr>
        <w:t>85 s  ·  ao final: 23:50</w:t>
      </w:r>
    </w:p>
    <w:p>
      <w:r>
        <w:rPr>
          <w:i/>
          <w:color w:val="555555"/>
        </w:rPr>
        <w:t>[Ler a tese de partida em tom mais lento. É o centro da apresentação.]</w:t>
      </w:r>
    </w:p>
    <w:p>
      <w:pPr>
        <w:jc w:val="both"/>
      </w:pPr>
      <w:r>
        <w:t>Com isso chego à tese de partida. A forma assumida pela PNED no cotidiano escolar resulta da relação entre o que ela prescreve e as condições sob as quais os profissionais precisam atuar. Dessa relação podem surgir adesão, acomodação, adaptação, omissão seletiva, negociação, ressignificação e resistência, e esta última permanece hipótese a examinar nos dados. As condições materiais fazem parte da política; Bowe, Ball e Gold já diziam que as políticas carregam restrições e possibilidades materiais. A tese chega à qualificação com três formulações para confrontar com o campo. Habitar o digital pergunta quem consegue habitar o digital, em que condições e com quais possibilidades de participação. Rugosidade tecnológica nomeia os equipamentos de 2022, anteriores à lei, chamados a cumprir nova função. Vazio material nomeia a exigência curricular com data marcada e meios sem mecanismo federativo obrigatório. As três poderão ser confirmadas, revistas ou abandonadas diante dos dados. A pergunta, assim, vai além da verificação da implementação e indaga o que acontece com uma política de educação digital quando encontra uma escola situada, num território específico, e quem consegue, nessas condições, habitar o digital.</w:t>
      </w:r>
    </w:p>
    <w:p>
      <w:pPr>
        <w:pStyle w:val="Heading2"/>
      </w:pPr>
      <w:r>
        <w:t>Lâmina 27 · A questão aberta e os próximos passos</w:t>
      </w:r>
    </w:p>
    <w:p>
      <w:r>
        <w:rPr>
          <w:color w:val="666666"/>
          <w:sz w:val="20"/>
        </w:rPr>
        <w:t>55 s  ·  ao final: 24:45</w:t>
      </w:r>
    </w:p>
    <w:p>
      <w:r>
        <w:rPr>
          <w:i/>
          <w:color w:val="555555"/>
        </w:rPr>
        <w:t>[Pausa antes de ler as duas perguntas do cartão amarelo, em tom mais lento.]</w:t>
      </w:r>
    </w:p>
    <w:p>
      <w:pPr>
        <w:jc w:val="both"/>
      </w:pPr>
      <w:r>
        <w:t>Termino com a questão que atravessa toda a pesquisa. A política fez da educação digital um direito e deixou os meios na dependência de cada ente federado. A pergunta de fundo, que só as narrativas dos profissionais podem responder, é esta: quando a política não faz chegar o equipamento nem a formação, quem paga, no silêncio do cotidiano escolar, o preço dessa ausência? E o que isso significa para os direitos que a lei prometeu às crianças? Para respondê-la, os próximos passos são submeter a emenda ao Comitê de Ética, realizar o campo em dez semanas, completar a análise documental e escrever o capítulo 7, incorporando as contribuições desta banca.</w:t>
      </w:r>
    </w:p>
    <w:p>
      <w:pPr>
        <w:pStyle w:val="Heading2"/>
      </w:pPr>
      <w:r>
        <w:t>Lâmina 28 · Agradecimento</w:t>
      </w:r>
    </w:p>
    <w:p>
      <w:r>
        <w:rPr>
          <w:color w:val="666666"/>
          <w:sz w:val="20"/>
        </w:rPr>
        <w:t>15 s  ·  ao final: 25:00</w:t>
      </w:r>
    </w:p>
    <w:p>
      <w:pPr>
        <w:jc w:val="both"/>
      </w:pPr>
      <w:r>
        <w:t>Agradeço a atenção e fico à disposição para ouvir as considerações da banca, que vão ajudar a tornar esta pesquisa mais consistente.</w:t>
      </w:r>
    </w:p>
    <w:p>
      <w:pPr>
        <w:pStyle w:val="Heading1"/>
      </w:pPr>
      <w:r>
        <w:t>REFERÊNCIAS</w:t>
      </w:r>
    </w:p>
    <w:p>
      <w:pPr>
        <w:pStyle w:val="Heading2"/>
      </w:pPr>
      <w:r>
        <w:t>Lâmina 29 · Referências (1/2)</w:t>
      </w:r>
    </w:p>
    <w:p>
      <w:r>
        <w:rPr>
          <w:color w:val="666666"/>
          <w:sz w:val="20"/>
        </w:rPr>
        <w:t>0 s  ·  ao final: 25:00</w:t>
      </w:r>
    </w:p>
    <w:p>
      <w:r>
        <w:rPr>
          <w:i/>
          <w:color w:val="555555"/>
        </w:rPr>
        <w:t>[Sem fala. Deixar à disposição da banca durante a arguição.]</w:t>
      </w:r>
    </w:p>
    <w:p>
      <w:pPr>
        <w:pStyle w:val="Heading2"/>
      </w:pPr>
      <w:r>
        <w:t>Lâmina 30 · Referências (2/2)</w:t>
      </w:r>
    </w:p>
    <w:p>
      <w:r>
        <w:rPr>
          <w:color w:val="666666"/>
          <w:sz w:val="20"/>
        </w:rPr>
        <w:t>0 s  ·  ao final: 25:00</w:t>
      </w:r>
    </w:p>
    <w:p>
      <w:r>
        <w:rPr>
          <w:i/>
          <w:color w:val="555555"/>
        </w:rPr>
        <w:t>[Sem fala.]</w:t>
      </w:r>
    </w:p>
    <w:p>
      <w:pPr>
        <w:pStyle w:val="Heading1"/>
      </w:pPr>
      <w:r>
        <w:t>Se o tempo apertar</w:t>
      </w:r>
    </w:p>
    <w:p>
      <w:pPr>
        <w:pStyle w:val="ListBullet"/>
      </w:pPr>
      <w:r>
        <w:rPr>
          <w:b/>
        </w:rPr>
        <w:t xml:space="preserve">Lâmina 20 (mapa): </w:t>
      </w:r>
      <w:r>
        <w:t>dizer só a primeira e a terceira frases e apontar o mapa, sem citar os países. Ganho de cerca de 40 s.</w:t>
      </w:r>
    </w:p>
    <w:p>
      <w:pPr>
        <w:pStyle w:val="ListBullet"/>
      </w:pPr>
      <w:r>
        <w:rPr>
          <w:b/>
        </w:rPr>
        <w:t xml:space="preserve">Lâmina 15 (território e habitar): </w:t>
      </w:r>
      <w:r>
        <w:t>omitir a frase sobre plataformas e dados. Ganho de cerca de 20 s.</w:t>
      </w:r>
    </w:p>
    <w:p>
      <w:pPr>
        <w:pStyle w:val="ListBullet"/>
      </w:pPr>
      <w:r>
        <w:rPr>
          <w:b/>
        </w:rPr>
        <w:t xml:space="preserve">Lâmina 21 (comparação): </w:t>
      </w:r>
      <w:r>
        <w:t>nomear as cinco categorias e ler apenas a pergunta final. Ganho de cerca de 30 s.</w:t>
      </w:r>
    </w:p>
    <w:p>
      <w:pPr>
        <w:pStyle w:val="ListBullet"/>
      </w:pPr>
      <w:r>
        <w:rPr>
          <w:b/>
        </w:rPr>
        <w:t xml:space="preserve">Lâmina 17 (desenho e participantes): </w:t>
      </w:r>
      <w:r>
        <w:t>dizer "24 profissionais e um técnico da Secretaria", sem listar as funções. Ganho de cerca de 15 s.</w:t>
      </w:r>
    </w:p>
    <w:p>
      <w:pPr>
        <w:pStyle w:val="Heading1"/>
      </w:pPr>
      <w:r>
        <w:t>Pontos que a banca pode perguntar</w:t>
      </w:r>
    </w:p>
    <w:p>
      <w:pPr>
        <w:pStyle w:val="ListBullet"/>
      </w:pPr>
      <w:r>
        <w:rPr>
          <w:b/>
        </w:rPr>
        <w:t xml:space="preserve">Proximidade com a rede: </w:t>
      </w:r>
      <w:r>
        <w:t>a pesquisadora trabalha na rede municipal; os cuidados são o confronto entre fontes, a devolutiva individual e o diário de campo, com a reflexividade pedida por Braun e Clarke.</w:t>
      </w:r>
    </w:p>
    <w:p>
      <w:pPr>
        <w:pStyle w:val="ListBullet"/>
      </w:pPr>
      <w:r>
        <w:rPr>
          <w:b/>
        </w:rPr>
        <w:t xml:space="preserve">Ausência de observação de aula: </w:t>
      </w:r>
      <w:r>
        <w:t>delimitação assumida, a mesma de Ball, Maguire e Braun (2016, p. 49); o que for narrado não será tratado como observado.</w:t>
      </w:r>
    </w:p>
    <w:p>
      <w:pPr>
        <w:pStyle w:val="ListBullet"/>
      </w:pPr>
      <w:r>
        <w:rPr>
          <w:b/>
        </w:rPr>
        <w:t xml:space="preserve">Por que não ouvir as crianças: </w:t>
      </w:r>
      <w:r>
        <w:t>o objeto é a encenação pelos profissionais; o que se disser sobre as crianças virá das condições documentadas e das compreensões dos profissionais.</w:t>
      </w:r>
    </w:p>
    <w:p>
      <w:pPr>
        <w:pStyle w:val="ListBullet"/>
      </w:pPr>
      <w:r>
        <w:rPr>
          <w:b/>
        </w:rPr>
        <w:t xml:space="preserve">Por que essas cinco categorias: </w:t>
      </w:r>
      <w:r>
        <w:t>saem das recorrências da comparação entre Europa e Américas (Quadro 12) e funcionam como lentes sensibilizadoras, abertas ao que o campo trouxer.</w:t>
      </w:r>
    </w:p>
    <w:p>
      <w:pPr>
        <w:pStyle w:val="ListBullet"/>
      </w:pPr>
      <w:r>
        <w:rPr>
          <w:b/>
        </w:rPr>
        <w:t xml:space="preserve">Vazio material: </w:t>
      </w:r>
      <w:r>
        <w:t>é proposição a verificar; falta reunir receita e gasto em educação de Tibau do Sul para separar o desenho da lei da capacidade fiscal do município.</w:t>
      </w:r>
    </w:p>
    <w:p>
      <w:pPr>
        <w:pStyle w:val="ListBullet"/>
      </w:pPr>
      <w:r>
        <w:rPr>
          <w:b/>
        </w:rPr>
        <w:t xml:space="preserve">Computadores de 2022: </w:t>
      </w:r>
      <w:r>
        <w:t>informação preliminar, a confirmar no documento de aquisição e nos cadernos de uso do laboratório.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349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34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