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before="0"/>
        <w:ind w:firstLine="0"/>
        <w:jc w:val="center"/>
      </w:pPr>
      <w:r>
        <w:rPr>
          <w:b/>
          <w:i w:val="0"/>
        </w:rPr>
        <w:t>UNIVERSIDADE FEDERAL DO RIO GRANDE DO NORTE</w:t>
      </w:r>
    </w:p>
    <w:p>
      <w:pPr>
        <w:spacing w:line="360" w:lineRule="auto" w:after="0" w:before="0"/>
        <w:ind w:firstLine="0"/>
        <w:jc w:val="center"/>
      </w:pPr>
      <w:r>
        <w:rPr>
          <w:b/>
          <w:i w:val="0"/>
        </w:rPr>
        <w:t>CENTRO DE EDUCAÇÃO</w:t>
      </w:r>
    </w:p>
    <w:p>
      <w:pPr>
        <w:spacing w:line="360" w:lineRule="auto" w:after="0" w:before="0"/>
        <w:ind w:firstLine="0"/>
        <w:jc w:val="center"/>
      </w:pPr>
      <w:r>
        <w:rPr>
          <w:b/>
          <w:i w:val="0"/>
        </w:rPr>
        <w:t>PROGRAMA DE PÓS-GRADUAÇÃO EM EDUCAÇÃO</w:t>
      </w:r>
    </w:p>
    <w:p>
      <w:pPr>
        <w:spacing w:line="360" w:lineRule="auto" w:after="0" w:before="0"/>
        <w:ind w:firstLine="0"/>
        <w:jc w:val="both"/>
      </w:pPr>
    </w:p>
    <w:p>
      <w:pPr>
        <w:spacing w:line="360" w:lineRule="auto" w:after="0" w:before="0"/>
        <w:ind w:firstLine="0"/>
        <w:jc w:val="both"/>
      </w:pPr>
    </w:p>
    <w:p>
      <w:pPr>
        <w:spacing w:line="360" w:lineRule="auto" w:after="0" w:before="0"/>
        <w:ind w:firstLine="0"/>
        <w:jc w:val="both"/>
      </w:pPr>
    </w:p>
    <w:p>
      <w:pPr>
        <w:spacing w:line="360" w:lineRule="auto" w:after="0" w:before="0"/>
        <w:ind w:firstLine="0"/>
        <w:jc w:val="both"/>
      </w:pPr>
    </w:p>
    <w:p>
      <w:pPr>
        <w:spacing w:line="360" w:lineRule="auto" w:after="0" w:before="0"/>
        <w:ind w:firstLine="0"/>
        <w:jc w:val="center"/>
      </w:pPr>
      <w:r>
        <w:rPr>
          <w:b w:val="0"/>
          <w:i w:val="0"/>
        </w:rPr>
        <w:t>YZYNYA SILVA REZENDE MACHADO</w:t>
      </w:r>
    </w:p>
    <w:p>
      <w:pPr>
        <w:spacing w:line="360" w:lineRule="auto" w:after="0" w:before="0"/>
        <w:ind w:firstLine="0"/>
        <w:jc w:val="both"/>
      </w:pPr>
    </w:p>
    <w:p>
      <w:pPr>
        <w:spacing w:line="360" w:lineRule="auto" w:after="0" w:before="0"/>
        <w:ind w:firstLine="0"/>
        <w:jc w:val="both"/>
      </w:pPr>
    </w:p>
    <w:p>
      <w:pPr>
        <w:spacing w:line="360" w:lineRule="auto" w:after="0" w:before="0"/>
        <w:ind w:firstLine="0"/>
        <w:jc w:val="both"/>
      </w:pPr>
    </w:p>
    <w:p>
      <w:pPr>
        <w:spacing w:line="360" w:lineRule="auto" w:after="0" w:before="0"/>
        <w:ind w:firstLine="0"/>
        <w:jc w:val="both"/>
      </w:pPr>
    </w:p>
    <w:p>
      <w:pPr>
        <w:spacing w:line="360" w:lineRule="auto" w:after="0" w:before="0"/>
        <w:ind w:firstLine="0"/>
        <w:jc w:val="both"/>
      </w:pPr>
    </w:p>
    <w:p>
      <w:pPr>
        <w:spacing w:line="360" w:lineRule="auto" w:after="0" w:before="0"/>
        <w:ind w:firstLine="0"/>
        <w:jc w:val="both"/>
      </w:pPr>
    </w:p>
    <w:p>
      <w:pPr>
        <w:spacing w:line="360" w:lineRule="auto" w:after="0" w:before="0"/>
        <w:ind w:firstLine="0"/>
        <w:jc w:val="center"/>
      </w:pPr>
      <w:r>
        <w:rPr>
          <w:b/>
          <w:i w:val="0"/>
        </w:rPr>
        <w:t>A ENCENAÇÃO DA POLÍTICA NACIONAL DE EDUCAÇÃO DIGITAL (PNED) EM PIPA/RN: CULTURAS PROFISSIONAIS, TERRITÓRIO E RESISTÊNCIAS NO CONTEXTO DA PRÁTICA</w:t>
      </w:r>
    </w:p>
    <w:p>
      <w:pPr>
        <w:spacing w:line="360" w:lineRule="auto" w:after="0" w:before="0"/>
        <w:ind w:firstLine="0"/>
        <w:jc w:val="both"/>
      </w:pPr>
    </w:p>
    <w:p>
      <w:pPr>
        <w:spacing w:line="360" w:lineRule="auto" w:after="0" w:before="0"/>
        <w:ind w:firstLine="0"/>
        <w:jc w:val="both"/>
      </w:pPr>
    </w:p>
    <w:p>
      <w:pPr>
        <w:spacing w:line="360" w:lineRule="auto" w:after="0" w:before="0"/>
        <w:ind w:firstLine="0"/>
        <w:jc w:val="both"/>
      </w:pPr>
    </w:p>
    <w:p>
      <w:pPr>
        <w:spacing w:line="360" w:lineRule="auto" w:after="0" w:before="0"/>
        <w:ind w:firstLine="0"/>
        <w:jc w:val="both"/>
      </w:pPr>
    </w:p>
    <w:p>
      <w:pPr>
        <w:spacing w:line="360" w:lineRule="auto" w:after="0" w:before="0"/>
        <w:ind w:firstLine="0"/>
        <w:jc w:val="both"/>
      </w:pPr>
    </w:p>
    <w:p>
      <w:pPr>
        <w:spacing w:line="360" w:lineRule="auto" w:after="0" w:before="0"/>
        <w:ind w:firstLine="0"/>
        <w:jc w:val="both"/>
      </w:pPr>
    </w:p>
    <w:p>
      <w:pPr>
        <w:spacing w:line="360" w:lineRule="auto" w:after="0" w:before="0"/>
        <w:ind w:firstLine="0"/>
        <w:jc w:val="both"/>
      </w:pPr>
    </w:p>
    <w:p>
      <w:pPr>
        <w:spacing w:line="360" w:lineRule="auto" w:after="0" w:before="0"/>
        <w:ind w:firstLine="0"/>
        <w:jc w:val="both"/>
      </w:pPr>
    </w:p>
    <w:p>
      <w:pPr>
        <w:spacing w:line="360" w:lineRule="auto" w:after="0" w:before="0"/>
        <w:ind w:firstLine="0"/>
        <w:jc w:val="both"/>
      </w:pPr>
    </w:p>
    <w:p>
      <w:pPr>
        <w:spacing w:line="360" w:lineRule="auto" w:after="0" w:before="0"/>
        <w:ind w:firstLine="0"/>
        <w:jc w:val="center"/>
      </w:pPr>
      <w:r>
        <w:rPr>
          <w:b w:val="0"/>
          <w:i w:val="0"/>
        </w:rPr>
        <w:t>NATAL</w:t>
      </w:r>
    </w:p>
    <w:p>
      <w:pPr>
        <w:spacing w:line="360" w:lineRule="auto" w:after="0" w:before="0"/>
        <w:ind w:firstLine="0"/>
        <w:jc w:val="center"/>
      </w:pPr>
      <w:r>
        <w:rPr>
          <w:b w:val="0"/>
          <w:i w:val="0"/>
        </w:rPr>
        <w:t>2026</w:t>
      </w:r>
    </w:p>
    <w:p>
      <w:r>
        <w:br w:type="page"/>
      </w:r>
    </w:p>
    <w:p>
      <w:pPr>
        <w:spacing w:line="360" w:lineRule="auto" w:after="0" w:before="0"/>
        <w:ind w:firstLine="0"/>
        <w:jc w:val="center"/>
      </w:pPr>
      <w:r>
        <w:rPr>
          <w:b w:val="0"/>
          <w:i w:val="0"/>
        </w:rPr>
        <w:t>YZYNYA SILVA REZENDE MACHADO</w:t>
      </w:r>
    </w:p>
    <w:p>
      <w:pPr>
        <w:spacing w:line="360" w:lineRule="auto" w:after="0" w:before="0"/>
        <w:ind w:firstLine="0"/>
        <w:jc w:val="both"/>
      </w:pPr>
    </w:p>
    <w:p>
      <w:pPr>
        <w:spacing w:line="360" w:lineRule="auto" w:after="0" w:before="0"/>
        <w:ind w:firstLine="0"/>
        <w:jc w:val="both"/>
      </w:pPr>
    </w:p>
    <w:p>
      <w:pPr>
        <w:spacing w:line="360" w:lineRule="auto" w:after="0" w:before="0"/>
        <w:ind w:firstLine="0"/>
        <w:jc w:val="both"/>
      </w:pPr>
    </w:p>
    <w:p>
      <w:pPr>
        <w:spacing w:line="360" w:lineRule="auto" w:after="0" w:before="0"/>
        <w:ind w:firstLine="0"/>
        <w:jc w:val="both"/>
      </w:pPr>
    </w:p>
    <w:p>
      <w:pPr>
        <w:spacing w:line="360" w:lineRule="auto" w:after="0" w:before="0"/>
        <w:ind w:firstLine="0"/>
        <w:jc w:val="both"/>
      </w:pPr>
    </w:p>
    <w:p>
      <w:pPr>
        <w:spacing w:line="360" w:lineRule="auto" w:after="0" w:before="0"/>
        <w:ind w:firstLine="0"/>
        <w:jc w:val="both"/>
      </w:pPr>
    </w:p>
    <w:p>
      <w:pPr>
        <w:spacing w:line="360" w:lineRule="auto" w:after="0" w:before="0"/>
        <w:ind w:firstLine="0"/>
        <w:jc w:val="both"/>
      </w:pPr>
    </w:p>
    <w:p>
      <w:pPr>
        <w:spacing w:line="360" w:lineRule="auto" w:after="0" w:before="0"/>
        <w:ind w:firstLine="0"/>
        <w:jc w:val="center"/>
      </w:pPr>
      <w:r>
        <w:rPr>
          <w:b/>
          <w:i w:val="0"/>
        </w:rPr>
        <w:t>A ENCENAÇÃO DA POLÍTICA NACIONAL DE EDUCAÇÃO DIGITAL (PNED) EM PIPA/RN: CULTURAS PROFISSIONAIS, TERRITÓRIO E RESISTÊNCIAS NO CONTEXTO DA PRÁTICA</w:t>
      </w:r>
    </w:p>
    <w:p>
      <w:pPr>
        <w:spacing w:line="360" w:lineRule="auto" w:after="0" w:before="0"/>
        <w:ind w:firstLine="0"/>
        <w:jc w:val="both"/>
      </w:pPr>
    </w:p>
    <w:p>
      <w:pPr>
        <w:spacing w:line="360" w:lineRule="auto" w:after="0" w:before="0"/>
        <w:ind w:firstLine="0"/>
        <w:jc w:val="both"/>
      </w:pPr>
    </w:p>
    <w:p>
      <w:pPr>
        <w:spacing w:line="360" w:lineRule="auto" w:after="0" w:before="0"/>
        <w:ind w:firstLine="0"/>
        <w:jc w:val="both"/>
      </w:pPr>
    </w:p>
    <w:p>
      <w:pPr>
        <w:spacing w:line="360" w:lineRule="auto" w:after="0" w:before="0"/>
        <w:ind w:firstLine="0"/>
        <w:jc w:val="both"/>
      </w:pPr>
    </w:p>
    <w:p>
      <w:pPr>
        <w:spacing w:line="240" w:lineRule="auto" w:after="240" w:before="0"/>
        <w:ind w:firstLine="0" w:left="4535"/>
        <w:jc w:val="both"/>
      </w:pPr>
      <w:r>
        <w:rPr>
          <w:b w:val="0"/>
          <w:i w:val="0"/>
        </w:rPr>
        <w:t>Projeto de tese apresentado ao Programa de Pós-Graduação em Educação da Universidade Federal do Rio Grande do Norte, como parte dos requisitos do curso de Doutorado em Educação.</w:t>
      </w:r>
    </w:p>
    <w:p>
      <w:pPr>
        <w:spacing w:line="240" w:lineRule="auto" w:after="240" w:before="0"/>
        <w:ind w:firstLine="0" w:left="4535"/>
        <w:jc w:val="both"/>
      </w:pPr>
      <w:r>
        <w:rPr>
          <w:b w:val="0"/>
          <w:i w:val="0"/>
        </w:rPr>
        <w:t>Linha de pesquisa: [indicar].</w:t>
      </w:r>
    </w:p>
    <w:p>
      <w:pPr>
        <w:spacing w:line="240" w:lineRule="auto" w:after="0" w:before="0"/>
        <w:ind w:firstLine="0" w:left="4535"/>
        <w:jc w:val="both"/>
      </w:pPr>
      <w:r>
        <w:rPr>
          <w:b w:val="0"/>
          <w:i w:val="0"/>
        </w:rPr>
        <w:t>Orientadora: Profa. Dra. Maria Cristina Leandro de Paiva.</w:t>
      </w:r>
    </w:p>
    <w:p>
      <w:pPr>
        <w:spacing w:line="360" w:lineRule="auto" w:after="0" w:before="0"/>
        <w:ind w:firstLine="0"/>
        <w:jc w:val="both"/>
      </w:pPr>
    </w:p>
    <w:p>
      <w:pPr>
        <w:spacing w:line="360" w:lineRule="auto" w:after="0" w:before="0"/>
        <w:ind w:firstLine="0"/>
        <w:jc w:val="both"/>
      </w:pPr>
    </w:p>
    <w:p>
      <w:pPr>
        <w:spacing w:line="360" w:lineRule="auto" w:after="0" w:before="0"/>
        <w:ind w:firstLine="0"/>
        <w:jc w:val="both"/>
      </w:pPr>
    </w:p>
    <w:p>
      <w:pPr>
        <w:spacing w:line="360" w:lineRule="auto" w:after="0" w:before="0"/>
        <w:ind w:firstLine="0"/>
        <w:jc w:val="both"/>
      </w:pPr>
    </w:p>
    <w:p>
      <w:pPr>
        <w:spacing w:line="360" w:lineRule="auto" w:after="0" w:before="0"/>
        <w:ind w:firstLine="0"/>
        <w:jc w:val="both"/>
      </w:pPr>
    </w:p>
    <w:p>
      <w:pPr>
        <w:spacing w:line="360" w:lineRule="auto" w:after="0" w:before="0"/>
        <w:ind w:firstLine="0"/>
        <w:jc w:val="both"/>
      </w:pPr>
    </w:p>
    <w:p>
      <w:pPr>
        <w:spacing w:line="360" w:lineRule="auto" w:after="0" w:before="0"/>
        <w:ind w:firstLine="0"/>
        <w:jc w:val="both"/>
      </w:pPr>
    </w:p>
    <w:p>
      <w:pPr>
        <w:spacing w:line="360" w:lineRule="auto" w:after="0" w:before="0"/>
        <w:ind w:firstLine="0"/>
        <w:jc w:val="both"/>
      </w:pPr>
    </w:p>
    <w:p>
      <w:pPr>
        <w:spacing w:line="360" w:lineRule="auto" w:after="0" w:before="0"/>
        <w:ind w:firstLine="0"/>
        <w:jc w:val="both"/>
      </w:pPr>
    </w:p>
    <w:p>
      <w:pPr>
        <w:spacing w:line="360" w:lineRule="auto" w:after="0" w:before="0"/>
        <w:ind w:firstLine="0"/>
        <w:jc w:val="center"/>
      </w:pPr>
      <w:r>
        <w:rPr>
          <w:b w:val="0"/>
          <w:i w:val="0"/>
        </w:rPr>
        <w:t>NATAL</w:t>
      </w:r>
    </w:p>
    <w:p>
      <w:pPr>
        <w:spacing w:line="360" w:lineRule="auto" w:after="0" w:before="0"/>
        <w:ind w:firstLine="0"/>
        <w:jc w:val="center"/>
      </w:pPr>
      <w:r>
        <w:rPr>
          <w:b w:val="0"/>
          <w:i w:val="0"/>
        </w:rPr>
        <w:t>2026</w:t>
      </w:r>
    </w:p>
    <w:p>
      <w:pPr>
        <w:pageBreakBefore/>
        <w:spacing w:after="360"/>
        <w:jc w:val="center"/>
      </w:pPr>
      <w:r>
        <w:rPr>
          <w:b/>
        </w:rPr>
        <w:t>SUMÁRIO</w:t>
      </w:r>
    </w:p>
    <w:p>
      <w:r>
        <w:fldChar w:fldCharType="begin"/>
      </w:r>
      <w:r>
        <w:instrText xml:space="preserve">TOC \o "1-2" \h \z \u</w:instrText>
      </w:r>
      <w:r>
        <w:fldChar w:fldCharType="separate"/>
      </w:r>
      <w:r>
        <w:t>Para gerar o sumário, clique com o botão direito aqui e escolha "Atualizar campo".</w:t>
      </w:r>
      <w:r>
        <w:fldChar w:fldCharType="end"/>
      </w:r>
    </w:p>
    <w:p>
      <w:pPr>
        <w:sectPr>
          <w:headerReference w:type="default" r:id="rId10"/>
          <w:pgSz w:w="11906" w:h="16838"/>
          <w:pgMar w:top="1701" w:right="1134" w:bottom="1134" w:left="1701" w:header="1134" w:footer="720" w:gutter="0"/>
          <w:cols w:space="720"/>
          <w:docGrid w:linePitch="360"/>
        </w:sectPr>
      </w:pPr>
    </w:p>
    <w:p>
      <w:pPr>
        <w:pStyle w:val="Heading1"/>
        <w:pageBreakBefore w:val="0"/>
      </w:pPr>
      <w:r>
        <w:t>1 OBJETO</w:t>
      </w:r>
    </w:p>
    <w:p>
      <w:pPr>
        <w:spacing w:line="360" w:lineRule="auto" w:after="0" w:before="0"/>
        <w:ind w:firstLine="709"/>
        <w:jc w:val="both"/>
      </w:pPr>
      <w:r>
        <w:rPr>
          <w:b w:val="0"/>
          <w:i w:val="0"/>
        </w:rPr>
        <w:t>Esta pesquisa investiga a encenação da Política Nacional de Educação Digital (PNED), instituída pela Lei nº 14.533/2023, em seu eixo Educação Digital Escolar, pelos profissionais da educação que atuam nos anos iniciais do Ensino Fundamental, do 1º ao 5º ano, na Escola Municipal Domitila Castelo, em Pipa, distrito de Tibau do Sul, no litoral sul do Rio Grande do Norte. Interessam-nos os modos pelos quais essa política é interpretada, traduzida e recontextualizada no contexto da prática, bem como o peso que têm nesse processo as culturas profissionais, as condições materiais e institucionais da escola e as especificidades socioespaciais do lugar onde ela está. Chamamos de profissionais da educação todos os que, na escola, participam da construção da política: as professoras e os professores do 1º ao 5º ano, a coordenação pedagógica, a direção e os demais profissionais ligados aos processos pedagógicos ou à educação digital. Uma política não se faz apenas na sala de aula, e o planejamento, a organização do tempo e dos espaços, os registros e as conversas entre colegas também são lugares onde ela ganha forma.</w:t>
      </w:r>
    </w:p>
    <w:p>
      <w:pPr>
        <w:spacing w:line="360" w:lineRule="auto" w:after="0" w:before="0"/>
        <w:ind w:firstLine="709"/>
        <w:jc w:val="both"/>
      </w:pPr>
      <w:r>
        <w:rPr>
          <w:b w:val="0"/>
          <w:i w:val="0"/>
        </w:rPr>
        <w:t>A escolha da escola e do território tem razões que vão além da delimitação do campo. Ao chegar a uma escola concreta, uma política de alcance nacional encontra uma história, um prédio, equipamentos que existem ou que faltam, profissionais com trajetórias e modos próprios de trabalhar e crianças que vêm de famílias e de ruas determinadas. Em Pipa, esse encontro tem contornos particulares. O distrito onde pousadas, restaurantes e passeios se vendem pela internet é o mesmo de onde as crianças saem, pela manhã, para salas de aula que, nos registros feitos para esta pesquisa, tinham carteiras enfileiradas, alfabeto móvel feito à mão e nenhuma tela. Conhecemos essa paisagem de perto, pois a pesquisadora convive com Pipa há cerca de duas décadas e trabalha há dezoito anos na rede municipal de Tibau do Sul. Essa proximidade exige vigilância metodológica e, ao mesmo tempo, é dela que nasce a pergunta sobre o que acontece com uma política nacional quando encontra uma escola situada, seus profissionais, suas condições e seu território.</w:t>
      </w:r>
    </w:p>
    <w:p>
      <w:pPr>
        <w:spacing w:line="360" w:lineRule="auto" w:after="0" w:before="0"/>
        <w:ind w:firstLine="709"/>
        <w:jc w:val="both"/>
      </w:pPr>
      <w:r>
        <w:rPr>
          <w:b w:val="0"/>
          <w:i w:val="0"/>
        </w:rPr>
        <w:t xml:space="preserve">Para ler esse encontro, recorremos à teoria da atuação de Ball, Maguire e Braun (2016), que traduzimos também por encenação, termo com que os estudos brasileiros têm vertido a palavra </w:t>
      </w:r>
      <w:r>
        <w:rPr>
          <w:b w:val="0"/>
          <w:i/>
        </w:rPr>
        <w:t>enactment</w:t>
      </w:r>
      <w:r>
        <w:rPr>
          <w:b w:val="0"/>
          <w:i w:val="0"/>
        </w:rPr>
        <w:t xml:space="preserve"> do original inglês. Os autores compreendem a política como algo que as escolas colocam em ação por meio de sujeitos que leem textos, avaliam o que é possível fazer, fazem escolhas, negociam demandas concorrentes e trabalham com as condições institucionais e materiais de que dispõem. A ideia de encenação acentua esse caráter produtivo, já que, na escola, a política toma corpo nas falas, nos registros, nos arranjos de tempo e espaço e nas práticas de quem a recebe e precisa dar conta dela. É com esse entendimento que formulamos a questão que orienta a investigação.</w:t>
      </w:r>
    </w:p>
    <w:p>
      <w:pPr>
        <w:pStyle w:val="Heading1"/>
        <w:pageBreakBefore/>
      </w:pPr>
      <w:r>
        <w:t>2 QUESTÃO DE PESQUISA</w:t>
      </w:r>
    </w:p>
    <w:p>
      <w:pPr>
        <w:spacing w:line="360" w:lineRule="auto" w:after="0" w:before="0"/>
        <w:ind w:firstLine="709"/>
        <w:jc w:val="both"/>
      </w:pPr>
      <w:r>
        <w:rPr>
          <w:b w:val="0"/>
          <w:i w:val="0"/>
        </w:rPr>
        <w:t>A pergunta central da pesquisa é a seguinte: como os profissionais da educação encenam e recontextualizam a Política Nacional de Educação Digital no contexto da prática da Escola Municipal Domitila Castelo, em Pipa (RN), e como as culturas profissionais, as condições materiais e institucionais da escola e as especificidades socioespaciais do território atravessam esse processo, produzindo diferentes formas de atuação, entre as quais podem emergir acomodações, negociações, ressignificações e resistências?</w:t>
      </w:r>
    </w:p>
    <w:p>
      <w:pPr>
        <w:spacing w:line="360" w:lineRule="auto" w:after="0" w:before="0"/>
        <w:ind w:firstLine="709"/>
        <w:jc w:val="both"/>
      </w:pPr>
      <w:r>
        <w:rPr>
          <w:b w:val="0"/>
          <w:i w:val="0"/>
        </w:rPr>
        <w:t>Formulamos a questão de modo a manter aberto o seu resultado. Não sabemos de antemão se a PNED será acolhida, adaptada, posta de lado ou contestada pelos profissionais da escola, e pressupor qualquer uma dessas respostas comprometeria a investigação antes de ela começar. O que buscamos conhecer são as maneiras de agir diante da política e as condições que tornam algumas delas possíveis e outras pouco prováveis. A resistência, nomeada no título, entra nesse quadro como uma possibilidade de interesse da pesquisa, que poderá aparecer ou não nos dados. Se aparecer, será lida em relação às condições em que se constitui, às demandas a que responde e aos efeitos que produz no cotidiano escolar. A investigação se volta, assim, para os processos pelos quais a política adquire, no dia a dia da escola, sentidos e formas de existência diversos, o que pede uma pergunta mais ampla que a do seu cumprimento.</w:t>
      </w:r>
    </w:p>
    <w:p>
      <w:pPr>
        <w:spacing w:line="360" w:lineRule="auto" w:after="0" w:before="0"/>
        <w:ind w:firstLine="709"/>
        <w:jc w:val="both"/>
      </w:pPr>
      <w:r>
        <w:rPr>
          <w:b w:val="0"/>
          <w:i w:val="0"/>
        </w:rPr>
        <w:t>Dessa questão decorrem o objetivo geral e os objetivos específicos que organizam o percurso da pesquisa.</w:t>
      </w:r>
    </w:p>
    <w:p>
      <w:pPr>
        <w:pStyle w:val="Heading1"/>
        <w:pageBreakBefore/>
      </w:pPr>
      <w:r>
        <w:t>3 OBJETIVOS</w:t>
      </w:r>
    </w:p>
    <w:p>
      <w:pPr>
        <w:pStyle w:val="Heading2"/>
      </w:pPr>
      <w:r>
        <w:t>3.1 OBJETIVO GERAL</w:t>
      </w:r>
    </w:p>
    <w:p>
      <w:pPr>
        <w:spacing w:line="360" w:lineRule="auto" w:after="0" w:before="0"/>
        <w:ind w:firstLine="709"/>
        <w:jc w:val="both"/>
      </w:pPr>
      <w:r>
        <w:rPr>
          <w:b w:val="0"/>
          <w:i w:val="0"/>
        </w:rPr>
        <w:t>Analisar como os profissionais da educação encenam e recontextualizam a Política Nacional de Educação Digital no contexto da prática da Escola Municipal Domitila Castelo, em Pipa (RN), considerando as relações entre a política, as culturas profissionais, as condições materiais e institucionais da escola e as especificidades socioespaciais do território.</w:t>
      </w:r>
    </w:p>
    <w:p>
      <w:pPr>
        <w:pStyle w:val="Heading2"/>
      </w:pPr>
      <w:r>
        <w:t>3.2 OBJETIVOS ESPECÍFICOS</w:t>
      </w:r>
    </w:p>
    <w:p>
      <w:pPr>
        <w:spacing w:line="360" w:lineRule="auto" w:after="0" w:before="0"/>
        <w:ind w:left="1049" w:hanging="340"/>
        <w:jc w:val="both"/>
      </w:pPr>
      <w:r>
        <w:rPr>
          <w:b w:val="0"/>
          <w:i w:val="0"/>
        </w:rPr>
        <w:t>a) compreender como os diferentes profissionais da educação interpretam os textos da PNED e os discursos sobre educação digital, considerando suas experiências, crenças, valores e formas de organização do trabalho;</w:t>
      </w:r>
    </w:p>
    <w:p>
      <w:pPr>
        <w:spacing w:line="360" w:lineRule="auto" w:after="0" w:before="0"/>
        <w:ind w:left="1049" w:hanging="340"/>
        <w:jc w:val="both"/>
      </w:pPr>
      <w:r>
        <w:rPr>
          <w:b w:val="0"/>
          <w:i w:val="0"/>
        </w:rPr>
        <w:t>b) analisar como as condições materiais e institucionais da escola, articuladas às especificidades socioespaciais do território, atravessam os processos de tradução e recontextualização da PNED em ações, escolhas e práticas cotidianas;</w:t>
      </w:r>
    </w:p>
    <w:p>
      <w:pPr>
        <w:spacing w:line="360" w:lineRule="auto" w:after="0" w:before="0"/>
        <w:ind w:left="1049" w:hanging="340"/>
        <w:jc w:val="both"/>
      </w:pPr>
      <w:r>
        <w:rPr>
          <w:b w:val="0"/>
          <w:i w:val="0"/>
        </w:rPr>
        <w:t>c) identificar as diferentes formas de atuação produzidas diante da política, com atenção às situações em que emergem acomodação, adaptação, omissão seletiva, negociação, ressignificação ou resistência;</w:t>
      </w:r>
    </w:p>
    <w:p>
      <w:pPr>
        <w:spacing w:line="360" w:lineRule="auto" w:after="0" w:before="0"/>
        <w:ind w:left="1049" w:hanging="340"/>
        <w:jc w:val="both"/>
      </w:pPr>
      <w:r>
        <w:rPr>
          <w:b w:val="0"/>
          <w:i w:val="0"/>
        </w:rPr>
        <w:t>d) discutir as implicações das diferentes formas de encenação da PNED para a educação digital das crianças, considerando as possibilidades de provisão, proteção e participação no ambiente digital.</w:t>
      </w:r>
    </w:p>
    <w:p>
      <w:pPr>
        <w:spacing w:line="360" w:lineRule="auto" w:after="0" w:before="240"/>
        <w:ind w:firstLine="709"/>
        <w:jc w:val="both"/>
      </w:pPr>
      <w:r>
        <w:rPr>
          <w:b w:val="0"/>
          <w:i w:val="0"/>
        </w:rPr>
        <w:t>Os quatro objetivos seguem o caminho que a própria política percorre até chegar às crianças. O primeiro se detém nos sujeitos e no modo como leem a política a partir do que já sabem, acreditam e praticam, e por isso dialoga com a discussão de Hargreaves (2005) sobre as culturas do trabalho docente. O segundo leva essa leitura para as condições em que ela acontece, dentro da escola e no território, e é nele que Pipa entra como dimensão do contexto da política. O terceiro reúne os dois anteriores para perguntar o que os profissionais efetivamente fazem com a PNED, sem estabelecer previamente qual forma de atuação deve prevalecer. O quarto, por fim, acompanha a política até as crianças, a quem ela se dirige e em nome de quem se justifica, e examina como as formas de encenação identificadas ampliam, limitam ou reorganizam as possibilidades de provisão, proteção e participação no ambiente digital (ONU, 2021).</w:t>
      </w:r>
    </w:p>
    <w:p>
      <w:pPr>
        <w:pStyle w:val="Heading1"/>
        <w:pageBreakBefore/>
      </w:pPr>
      <w:r>
        <w:t>4 RELEVÂNCIA E INEDITISMO</w:t>
      </w:r>
    </w:p>
    <w:p>
      <w:pPr>
        <w:spacing w:line="360" w:lineRule="auto" w:after="0" w:before="0"/>
        <w:ind w:firstLine="709"/>
        <w:jc w:val="both"/>
      </w:pPr>
      <w:r>
        <w:rPr>
          <w:b w:val="0"/>
          <w:i w:val="0"/>
        </w:rPr>
        <w:t>A educação digital passou a ocupar lugar central nas políticas educacionais brasileiras. A Lei nº 14.533/2023 instituiu a PNED com quatro eixos estruturantes, a Inclusão Digital, a Educação Digital Escolar, a Capacitação e Especialização Digital e a Pesquisa e Desenvolvimento em Tecnologias da Informação e Comunicação, e determinou sua articulação com outras políticas nacionais, estaduais, distritais e municipais de educação digital, de formação e de infraestrutura (BRASIL, 2023). Dois anos depois, a Resolução CNE/CEB nº 2, de 21 de março de 2025, instituiu as Diretrizes Operacionais Nacionais sobre o uso de dispositivos digitais em espaços escolares e a integração curricular da educação digital e midiática, aplicáveis a todas as etapas da Educação Básica, e previu a adequação dos currículos das redes com implementação até 2026 (BRASIL, 2025a).</w:t>
      </w:r>
    </w:p>
    <w:p>
      <w:pPr>
        <w:spacing w:line="360" w:lineRule="auto" w:after="0" w:before="0"/>
        <w:ind w:firstLine="709"/>
        <w:jc w:val="both"/>
      </w:pPr>
      <w:r>
        <w:rPr>
          <w:b w:val="0"/>
          <w:i w:val="0"/>
        </w:rPr>
        <w:t>A pesquisa acontece, portanto, no momento em que esse conjunto de normas deixa o papel e começa a chegar às redes e às escolas. Em Tibau do Sul, como em muitos municípios de pequeno porte, essa chegada passa pela Secretaria Municipal de Educação, por formações, documentos curriculares e orientações que a escola recebe, lê e precisa transformar em trabalho com as crianças. Registrar a presença ou a ausência das orientações da PNED na Escola Municipal Domitila Castelo diria pouco sobre esse processo. Por isso, procuramos compreender como uma política pensada em escala nacional encontra uma escola de pequeno porte, situada num território com particularidades sociais, econômicas, culturais e tecnológicas, e o que resulta desse encontro. O caráter inédito da proposta pode ser descrito em três dimensões, que se apoiam umas nas outras.</w:t>
      </w:r>
    </w:p>
    <w:p>
      <w:pPr>
        <w:pStyle w:val="Heading2"/>
      </w:pPr>
      <w:r>
        <w:t>4.1 INEDITISMO EMPÍRICO-TEMPORAL</w:t>
      </w:r>
    </w:p>
    <w:p>
      <w:pPr>
        <w:spacing w:line="360" w:lineRule="auto" w:after="0" w:before="0"/>
        <w:ind w:firstLine="709"/>
        <w:jc w:val="both"/>
      </w:pPr>
      <w:r>
        <w:rPr>
          <w:b w:val="0"/>
          <w:i w:val="0"/>
        </w:rPr>
        <w:t>A primeira dimensão diz respeito ao objeto e ao tempo em que ele é estudado. A pesquisa acompanha a chegada da PNED ao cotidiano escolar no período em que a educação digital e midiática começa a ser incorporada aos currículos de modo mais sistemático. Na revisão sistemática realizada para esta tese, as buscas em sete bases retornaram 176 registros e resultaram num corpus de nove estudos, publicados entre 2021 e 2024. Nenhum deles se dedica especificamente à PNED, e nenhum investiga a atuação dessa política numa rede municipal de pequeno porte. A novidade da lei, por si, justificaria pouco a investigação. O que dá relevância ao estudo é a possibilidade de documentar um momento inicial de tradução de uma política nacional no interior de uma escola específica, acompanhando as mediações, as escolhas e as tensões que esse processo produz enquanto ele ainda está em curso.</w:t>
      </w:r>
    </w:p>
    <w:p>
      <w:pPr>
        <w:pStyle w:val="Heading2"/>
      </w:pPr>
      <w:r>
        <w:t>4.2 INEDITISMO ANALÍTICO-ESPACIAL</w:t>
      </w:r>
    </w:p>
    <w:p>
      <w:pPr>
        <w:spacing w:line="360" w:lineRule="auto" w:after="0" w:before="0"/>
        <w:ind w:firstLine="709"/>
        <w:jc w:val="both"/>
      </w:pPr>
      <w:r>
        <w:rPr>
          <w:b w:val="0"/>
          <w:i w:val="0"/>
        </w:rPr>
        <w:t>A segunda dimensão está no lugar que o território ocupa na análise. Pipa entra nesta pesquisa como parte do contexto em que a política é encenada. O distrito, que foi vila de pescadores e se transformou, a partir dos anos 1990, em destino turístico internacional, é hoje marcado pelo turismo, pela circulação de grupos sociais muito diferentes e por experiências desiguais de acesso, de uso e de participação na cultura digital. Para ler esse território, partimos de Santos (1999, p. 18), para quem “o território não é uma categoria de análise, a categoria de análise é o território usado”, isto é, o território tomado pelas relações, pelos usos e pelos conflitos que o constituem. Em diálogo com essa perspectiva, Massey (2008) compreende o espaço como a esfera da coexistência e da multiplicidade, feita de relações e de trajetórias que se encontram sem formar uma unidade homogênea, e pensa o lugar como encontro sempre em construção.</w:t>
      </w:r>
    </w:p>
    <w:p>
      <w:pPr>
        <w:spacing w:line="360" w:lineRule="auto" w:after="0" w:before="0"/>
        <w:ind w:firstLine="709"/>
        <w:jc w:val="both"/>
      </w:pPr>
      <w:r>
        <w:rPr>
          <w:b w:val="0"/>
          <w:i w:val="0"/>
        </w:rPr>
        <w:t>Essa leitura interessa à pesquisa porque permite olhar para a escola como um lugar onde se cruzam experiências sociais e digitais diversas. Na mesma turma podem estar a criança cuja família vive do turismo e convive com celulares, aplicativos e plataformas desde cedo, a criança recém-chegada com pais atraídos pelo setor de serviços e a criança de família nativa, ligada à pesca e às atividades tradicionais da localidade. Com Santos e Massey, perguntamos como as características do território entram nas relações pelas quais a política é interpretada e traduzida, sem atribuir ao lugar o poder de determinar o que a escola faz com ela.</w:t>
      </w:r>
    </w:p>
    <w:p>
      <w:pPr>
        <w:pStyle w:val="Heading2"/>
      </w:pPr>
      <w:r>
        <w:t>4.3 INEDITISMO TEÓRICO-CONCEITUAL</w:t>
      </w:r>
    </w:p>
    <w:p>
      <w:pPr>
        <w:spacing w:line="360" w:lineRule="auto" w:after="0" w:before="0"/>
        <w:ind w:firstLine="709"/>
        <w:jc w:val="both"/>
      </w:pPr>
      <w:r>
        <w:rPr>
          <w:b w:val="0"/>
          <w:i w:val="0"/>
        </w:rPr>
        <w:t>A terceira dimensão está na articulação entre a teoria da atuação, a discussão sobre culturas profissionais, a atenção à dimensão material da escola e a leitura do território para compreender uma política de educação digital. Os estudos reunidos na revisão sistemática reconhecem que os profissionais da educação interpretam as políticas e lhes dão forma, e examinam pouco as culturas profissionais que filtram essa interpretação e as condições em que ela se produz. Ao reunir esses referenciais, a pesquisa pode tratar a distância entre o que a política prescreve e o que acontece na escola como parte de uma relação política entre texto, contexto e sujeitos, evitando classificá-la de imediato como falha, incapacidade ou resistência.</w:t>
      </w:r>
    </w:p>
    <w:p>
      <w:pPr>
        <w:spacing w:line="360" w:lineRule="auto" w:after="0" w:before="0"/>
        <w:ind w:firstLine="709"/>
        <w:jc w:val="both"/>
      </w:pPr>
      <w:r>
        <w:rPr>
          <w:b w:val="0"/>
          <w:i w:val="0"/>
        </w:rPr>
        <w:t>É nessa distância que procuraremos compreender o surgimento de diferentes formas de atuação, inclusive das resistências, entendidas como possibilidade produzida diante de exigências, condições, valores, limites ou conflitos específicos, e nunca como comportamento negativo previamente atribuído aos profissionais. É também desse diálogo entre referenciais que nasce a formulação “habitar o digital”, que a tese propõe como possibilidade analítica para nomear as maneiras pelas quais as tecnologias digitais atravessam os espaços, as relações e as práticas cotidianas de um território, produzindo possibilidades desiguais de acesso, participação e apropriação. Sua construção, a partir da tradição do habitar e das leituras de Santos e Massey, é apresentada adiante, depois do referencial teórico-metodológico que sustenta a investigação.</w:t>
      </w:r>
    </w:p>
    <w:p>
      <w:pPr>
        <w:pStyle w:val="Heading1"/>
        <w:pageBreakBefore/>
      </w:pPr>
      <w:r>
        <w:t>5 REFERENCIAL TEÓRICO-METODOLÓGICO</w:t>
      </w:r>
    </w:p>
    <w:p>
      <w:pPr>
        <w:spacing w:line="360" w:lineRule="auto" w:after="0" w:before="0"/>
        <w:ind w:firstLine="709"/>
        <w:jc w:val="both"/>
      </w:pPr>
      <w:r>
        <w:rPr>
          <w:b w:val="0"/>
          <w:i w:val="0"/>
        </w:rPr>
        <w:t>O referencial da pesquisa foi composto para acompanhar a política no caminho que a questão descreve, desde os textos que a instituem até a escola, os profissionais, o território e as crianças. Cada autor responde a uma parte desse caminho. A Abordagem do Ciclo de Políticas oferece a matriz para compreender a trajetória da PNED; a teoria da atuação, o dispositivo para analisar como a escola a coloca em ação; a discussão sobre culturas profissionais e performatividade, os meios para compreender o que filtra essa atuação e o que a pressiona; e as leituras de território, técnica e lugar, apresentadas na seção 6, a forma de inscrever Pipa na análise.</w:t>
      </w:r>
    </w:p>
    <w:p>
      <w:pPr>
        <w:pStyle w:val="Heading2"/>
      </w:pPr>
      <w:r>
        <w:t>5.1 A ABORDAGEM DO CICLO DE POLÍTICAS</w:t>
      </w:r>
    </w:p>
    <w:p>
      <w:pPr>
        <w:spacing w:line="360" w:lineRule="auto" w:after="0" w:before="0"/>
        <w:ind w:firstLine="709"/>
        <w:jc w:val="both"/>
      </w:pPr>
      <w:r>
        <w:rPr>
          <w:b w:val="0"/>
          <w:i w:val="0"/>
        </w:rPr>
        <w:t>A Abordagem do Ciclo de Políticas (ACP) constitui a matriz epistemológica a partir da qual compreendemos a trajetória da PNED. Na formulação inicial de Bowe, Ball e Gold (1992), a política é lida como processo contínuo, em que a formulação e a prática se influenciam mutuamente, sem a sequência linear em que um texto elaborado no centro seria executado nas pontas. Mainardes (2006), ao sistematizar a abordagem para o campo das políticas educacionais no Brasil, destaca a articulação entre o contexto de influência, em que se disputam as finalidades e os discursos da política, o contexto da produção do texto, em que essas disputas ganham forma em leis e documentos, e o contexto da prática, em que os textos são recebidos e reinterpretados. O autor registra também a ampliação posterior proposta por Ball, com os contextos dos resultados e da estratégia política.</w:t>
      </w:r>
    </w:p>
    <w:p>
      <w:pPr>
        <w:spacing w:line="360" w:lineRule="auto" w:after="0" w:before="0"/>
        <w:ind w:firstLine="709"/>
        <w:jc w:val="both"/>
      </w:pPr>
      <w:r>
        <w:rPr>
          <w:b w:val="0"/>
          <w:i w:val="0"/>
        </w:rPr>
        <w:t>Nesta pesquisa, o contexto da prática ocupa posição privilegiada. Tomamos a Escola Municipal Domitila Castelo como um espaço em que os textos da PNED são lidos, interpretados, traduzidos e recriados por quem trabalha nela, e com isso tratamos a política como algo em movimento, cuja forma final só se conhece quando ela encontra as pessoas e as condições de um lugar. Os contextos de influência e de produção do texto entram na análise como referência para essa leitura, pois é em relação ao que a lei pede, e aos meios que oferece, que os profissionais produzem sentidos.</w:t>
      </w:r>
    </w:p>
    <w:p>
      <w:pPr>
        <w:pStyle w:val="Heading2"/>
      </w:pPr>
      <w:r>
        <w:t>5.2 A TEORIA DA ATUAÇÃO OU ENCENAÇÃO</w:t>
      </w:r>
    </w:p>
    <w:p>
      <w:pPr>
        <w:spacing w:line="360" w:lineRule="auto" w:after="0" w:before="0"/>
        <w:ind w:firstLine="709"/>
        <w:jc w:val="both"/>
      </w:pPr>
      <w:r>
        <w:rPr>
          <w:b w:val="0"/>
          <w:i w:val="0"/>
        </w:rPr>
        <w:t>A teoria da atuação de Ball, Maguire e Braun (2016) é o principal dispositivo analítico da pesquisa. Os autores voltam a atenção para os processos pelos quais as escolas colocam as políticas em ação e mostram que esses processos dependem das condições concretas de cada instituição. Para examiná-las, propõem quatro dimensões do contexto, que orientarão a construção da análise. A dimensão situacional reúne a história da escola, sua localização e a composição de seu público, e é por ela que o território de Pipa e a trajetória da Escola Municipal Domitila Castelo entram no estudo. A dimensão das culturas profissionais diz respeito aos valores, compromissos, hábitos e experiências dos profissionais e às formas de relação entre eles. A dimensão material compreende a infraestrutura, os espaços, os equipamentos, a conectividade e os demais recursos que participam do que a escola consegue fazer. A dimensão externa abrange as pressões e os apoios vindos de fora, como as orientações da rede, as avaliações e as relações com outras instâncias de governo.</w:t>
      </w:r>
    </w:p>
    <w:p>
      <w:pPr>
        <w:spacing w:line="360" w:lineRule="auto" w:after="0" w:before="0"/>
        <w:ind w:firstLine="709"/>
        <w:jc w:val="both"/>
      </w:pPr>
      <w:r>
        <w:rPr>
          <w:b w:val="0"/>
          <w:i w:val="0"/>
        </w:rPr>
        <w:t>É pela dimensão externa que se justifica a participação de um técnico da Secretaria Municipal de Educação. Em Tibau do Sul, as orientações nacionais chegam à escola depois de passar pela gestão municipal, que as recebe, interpreta e encaminha às unidades. Ouvir quem acompanha a educação digital na Secretaria permitirá compreender essa mediação e o que dela chega à escola. A participação do técnico terá função complementar, e o centro do estudo de caso permanece na escola, onde a política é encenada no trabalho com as crianças.</w:t>
      </w:r>
    </w:p>
    <w:p>
      <w:pPr>
        <w:pStyle w:val="Heading2"/>
      </w:pPr>
      <w:r>
        <w:t>5.3 CULTURAS PROFISSIONAIS E PERFORMATIVIDADE</w:t>
      </w:r>
    </w:p>
    <w:p>
      <w:pPr>
        <w:spacing w:line="360" w:lineRule="auto" w:after="0" w:before="0"/>
        <w:ind w:firstLine="709"/>
        <w:jc w:val="both"/>
      </w:pPr>
      <w:r>
        <w:rPr>
          <w:b w:val="0"/>
          <w:i w:val="0"/>
        </w:rPr>
        <w:t>A discussão sobre culturas profissionais será orientada por Hargreaves (2005), para quem “as culturas do ensino compreendem crenças, valores, hábitos e formas de fazer as coisas assumidas pelas comunidades de professores que têm de enfrentar exigências e limitações semelhantes ao longo de muitos anos” (HARGREAVES, 2005, p. 189, tradução nossa). O autor distingue o conteúdo dessas culturas, feito dos pressupostos, valores, atitudes e crenças compartilhados, de sua forma, que corresponde aos padrões de relação e de interação entre os profissionais, e descreve formas como o individualismo, a colaboração, a colegialidade artificial e a balcanização (HARGREAVES, 2005, p. 189-191). Essa distinção interessa à pesquisa porque os profissionais da escola leem a PNED a partir de suas histórias profissionais, de suas experiências, das relações com os colegas e dos modos próprios de organizar o trabalho. O que uma equipe considera um bom trabalho, o que costuma acolher e o que costuma deixar de lado entram, assim, no modo como a política é interpretada.</w:t>
      </w:r>
    </w:p>
    <w:p>
      <w:pPr>
        <w:spacing w:line="360" w:lineRule="auto" w:after="0" w:before="0"/>
        <w:ind w:firstLine="709"/>
        <w:jc w:val="both"/>
      </w:pPr>
      <w:r>
        <w:rPr>
          <w:b w:val="0"/>
          <w:i w:val="0"/>
        </w:rPr>
        <w:t>A performatividade será trabalhada a partir de Ball (2004), que a descreve como uma cultura de metas, comparações, indicadores e prestação de contas capaz de orientar o trabalho e a própria identidade dos profissionais da educação. Interessa-nos saber se, em Pipa, a educação digital chega à escola acompanhada de exigências de registro, demonstração, monitoramento ou responsabilização, e o que os profissionais fazem diante delas. Se a PNED produz ou não uma cultura de performatividade na escola é questão que caberá aos dados responder. Ligada a ela está a noção de fabricação, com a qual Ball (2002) nomeia as versões de uma instituição ou de uma prática produzidas para serem vistas, avaliadas e prestadas como conta. Essa noção será mobilizada quando os dados indicarem a construção de determinadas imagens da escola ou de seu trabalho para responder a expectativas de avaliação, de registro ou de apresentação institucional.</w:t>
      </w:r>
    </w:p>
    <w:p>
      <w:pPr>
        <w:spacing w:line="360" w:lineRule="auto" w:after="0" w:before="0"/>
        <w:ind w:firstLine="709"/>
        <w:jc w:val="both"/>
      </w:pPr>
      <w:r>
        <w:rPr>
          <w:b w:val="0"/>
          <w:i w:val="0"/>
        </w:rPr>
        <w:t>As noções reunidas neste referencial funcionarão como lentes de leitura. Elas orientam o olhar sobre os dados sem antecipar o que será encontrado, e poderão ser ajustadas quando os dados pedirem. Isso vale também para a leitura do território, que trata do lugar onde todas essas dimensões se encontram.</w:t>
      </w:r>
    </w:p>
    <w:p>
      <w:pPr>
        <w:pStyle w:val="Heading1"/>
        <w:pageBreakBefore/>
      </w:pPr>
      <w:r>
        <w:t>6 TERRITÓRIO, TÉCNICA E A PRODUÇÃO DO LUGAR</w:t>
      </w:r>
    </w:p>
    <w:p>
      <w:pPr>
        <w:spacing w:line="360" w:lineRule="auto" w:after="0" w:before="0"/>
        <w:ind w:firstLine="709"/>
        <w:jc w:val="both"/>
      </w:pPr>
      <w:r>
        <w:rPr>
          <w:b w:val="0"/>
          <w:i w:val="0"/>
        </w:rPr>
        <w:t xml:space="preserve">Para inscrever Pipa na análise, recorremos a Milton Santos e a Doreen Massey. Em </w:t>
      </w:r>
      <w:r>
        <w:rPr>
          <w:b w:val="0"/>
          <w:i/>
        </w:rPr>
        <w:t>A natureza do espaço</w:t>
      </w:r>
      <w:r>
        <w:rPr>
          <w:b w:val="0"/>
          <w:i w:val="0"/>
        </w:rPr>
        <w:t xml:space="preserve">, Santos (2006) compreende o espaço como conjunto indissociável de sistemas de objetos e de sistemas de ações e atribui à técnica um papel central na relação entre espaço e tempo. Os objetos técnicos instalados num lugar carregam a história do momento em que foram produzidos e condicionam as ações que ali se tornam possíveis. Como os lugares não se renovam por inteiro, formas herdadas de outros períodos continuam presentes e participam do presente. O autor dá a essas permanências o nome de rugosidades: “Chamemos rugosidade ao que fica do passado como forma, espaço construído, paisagem, o que resta do processo de supressão, acumulação, superposição, com que as coisas se substituem e acumulam em todos os lugares” (SANTOS, 2006, p. 92). Em </w:t>
      </w:r>
      <w:r>
        <w:rPr>
          <w:b w:val="0"/>
          <w:i/>
        </w:rPr>
        <w:t>Pensando o espaço do homem</w:t>
      </w:r>
      <w:r>
        <w:rPr>
          <w:b w:val="0"/>
          <w:i w:val="0"/>
        </w:rPr>
        <w:t>, Santos (2004) reforça essa leitura ao tratar o espaço como acumulação desigual de tempos.</w:t>
      </w:r>
    </w:p>
    <w:p>
      <w:pPr>
        <w:spacing w:line="360" w:lineRule="auto" w:after="0" w:before="0"/>
        <w:ind w:firstLine="709"/>
        <w:jc w:val="both"/>
      </w:pPr>
      <w:r>
        <w:rPr>
          <w:b w:val="0"/>
          <w:i w:val="0"/>
        </w:rPr>
        <w:t>Essa perspectiva é especialmente produtiva para pensar uma escola situada num território onde convivem temporalidades tecnológicas diferentes. A Escola Municipal Domitila Castelo recebe a PNED com uma infraestrutura, objetos técnicos, espaços, formas de organização e uma história determinados. Segundo informações preliminares, ainda a confirmar nos documentos da rede, os computadores de seu laboratório de informática foram adquiridos pela Prefeitura em 2022, pouco antes da promulgação da lei. A política nacional encontra, assim, equipamentos de uma iniciativa anterior a ela e lhes atribui uma nova função. Nos capítulos já escritos da tese, chamamos essa situação de rugosidade tecnológica. Com Santos, perguntaremos que condições técnicas já existiam na escola quando a política chegou, quais permaneceram, que novos objetos foram incorporados e o que essas condições permitem ou limitam no trabalho dos profissionais e na experiência das crianças.</w:t>
      </w:r>
    </w:p>
    <w:p>
      <w:pPr>
        <w:spacing w:line="360" w:lineRule="auto" w:after="0" w:before="0"/>
        <w:ind w:firstLine="709"/>
        <w:jc w:val="both"/>
      </w:pPr>
      <w:r>
        <w:rPr>
          <w:b w:val="0"/>
          <w:i w:val="0"/>
        </w:rPr>
        <w:t>Massey (2008) complementa essa leitura ao compreender o espaço “como a esfera da possibilidade da existência da multiplicidade, no sentido da pluralidade contemporânea, como a esfera na qual distintas trajetórias coexistem” (MASSEY, 2008, p. 29). Para a autora, o lugar é atravessado por trajetórias diversas e permanece aberto ao encontro e à negociação. A transformação de Pipa ganha, com ela, outra nitidez. O distrito que foi vila de pescadores passou a receber, a partir dos anos 1990, o turismo ligado ao surfe, investimentos imobiliários nacionais e estrangeiros, trabalhadores atraídos pelo setor de serviços e, mais recentemente, pessoas que trabalham remotamente para empresas sediadas em outros lugares. Essas trajetórias se sobrepõem no território e chegam à escola na forma das famílias e das crianças que ela atende.</w:t>
      </w:r>
    </w:p>
    <w:p>
      <w:pPr>
        <w:spacing w:line="360" w:lineRule="auto" w:after="0" w:before="0"/>
        <w:ind w:firstLine="709"/>
        <w:jc w:val="both"/>
      </w:pPr>
      <w:r>
        <w:rPr>
          <w:b w:val="0"/>
          <w:i w:val="0"/>
        </w:rPr>
        <w:t>Articuladas, as contribuições de Santos e de Massey permitem compreender Pipa ao mesmo tempo como território produzido por tempos e relações diferentes e como lugar de encontro de trajetórias diversas. É dessa leitura, somada à discussão sobre o habitar, que nasce a formulação que a tese propõe para nomear a relação entre o território e as tecnologias digitais.</w:t>
      </w:r>
    </w:p>
    <w:p>
      <w:pPr>
        <w:pStyle w:val="Heading1"/>
        <w:pageBreakBefore/>
      </w:pPr>
      <w:r>
        <w:t>7 DA IDEIA DE HABITAR AO “HABITAR O DIGITAL”</w:t>
      </w:r>
    </w:p>
    <w:p>
      <w:pPr>
        <w:spacing w:line="360" w:lineRule="auto" w:after="0" w:before="0"/>
        <w:ind w:firstLine="709"/>
        <w:jc w:val="both"/>
      </w:pPr>
      <w:r>
        <w:rPr>
          <w:b w:val="0"/>
          <w:i w:val="0"/>
        </w:rPr>
        <w:t>A expressão “habitar o digital” é uma formulação própria desta tese. Ela resulta de um percurso teórico que reúne contribuições anteriores e as articula ao caso estudado, e por isso convém apresentar esse percurso e situar o que cada autor oferece.</w:t>
      </w:r>
    </w:p>
    <w:p>
      <w:pPr>
        <w:spacing w:line="360" w:lineRule="auto" w:after="0" w:before="0"/>
        <w:ind w:firstLine="709"/>
        <w:jc w:val="both"/>
      </w:pPr>
      <w:r>
        <w:rPr>
          <w:b w:val="0"/>
          <w:i w:val="0"/>
        </w:rPr>
        <w:t xml:space="preserve">O ponto de partida está na própria noção de habitar. Em </w:t>
      </w:r>
      <w:r>
        <w:rPr>
          <w:b w:val="0"/>
          <w:i/>
        </w:rPr>
        <w:t>O habitar do ensinar e do aprender OnLIFE</w:t>
      </w:r>
      <w:r>
        <w:rPr>
          <w:b w:val="0"/>
          <w:i w:val="0"/>
        </w:rPr>
        <w:t xml:space="preserve">, obra organizada por Schlemmer </w:t>
      </w:r>
      <w:r>
        <w:rPr>
          <w:b w:val="0"/>
          <w:i/>
        </w:rPr>
        <w:t>et al.</w:t>
      </w:r>
      <w:r>
        <w:rPr>
          <w:b w:val="0"/>
          <w:i w:val="0"/>
        </w:rPr>
        <w:t xml:space="preserve"> (2021), o habitar é tomado em sentido mais amplo que o de morar ou permanecer num lugar e aproxima-se da ideia de estar presente. Ele aparece como experiência relacional, constituída pelas relações entre sujeitos, ambientes, tecnologias e redes. Essa discussão dialoga com a obra de Massimo Di Felice. Em </w:t>
      </w:r>
      <w:r>
        <w:rPr>
          <w:b w:val="0"/>
          <w:i/>
        </w:rPr>
        <w:t>Paisagens pós-urbanas</w:t>
      </w:r>
      <w:r>
        <w:rPr>
          <w:b w:val="0"/>
          <w:i w:val="0"/>
        </w:rPr>
        <w:t xml:space="preserve">, Di Felice (2009) retoma a tradição filosófica do habitar, que remonta a Heidegger, e pensa o habitar como prática comunicativa, mostrando como as diferentes tecnologias transformam a relação entre o sujeito, os meios de comunicação e o território. Com as redes digitais, o autor descreve um habitar atópico, em que a experiência habitativa passa a envolver interfaces, fluxos informativos e relações que não se reduzem ao espaço físico. Schlemmer </w:t>
      </w:r>
      <w:r>
        <w:rPr>
          <w:b w:val="0"/>
          <w:i/>
        </w:rPr>
        <w:t>et al.</w:t>
      </w:r>
      <w:r>
        <w:rPr>
          <w:b w:val="0"/>
          <w:i w:val="0"/>
        </w:rPr>
        <w:t xml:space="preserve"> (2021) levam essa discussão para o campo educacional ao pensar o ensinar e o aprender numa realidade marcada pela digitalidade e pela conectividade.</w:t>
      </w:r>
    </w:p>
    <w:p>
      <w:pPr>
        <w:spacing w:line="360" w:lineRule="auto" w:after="0" w:before="0"/>
        <w:ind w:firstLine="709"/>
        <w:jc w:val="both"/>
      </w:pPr>
      <w:r>
        <w:rPr>
          <w:b w:val="0"/>
          <w:i w:val="0"/>
        </w:rPr>
        <w:t>É a partir desse diálogo, e das leituras de território apresentadas na seção anterior, que formulamos a expressão. Habitar o digital designa, nesta pesquisa, as maneiras pelas quais as tecnologias digitais atravessam os espaços, as relações e as práticas cotidianas de um território, produzindo possibilidades desiguais de acesso, participação e apropriação. Em Pipa, a expressão nomeia uma tensão específica, a coexistência de uma elevada densidade tecnológica nos circuitos econômicos e turísticos do distrito com uma disponibilidade muito mais limitada de tecnologias nos espaços pedagógicos da escola. A formulação dialoga com Santos (2006), porque os objetos técnicos se distribuem de forma desigual no espaço e carregam idades, funções e possibilidades de uso diferentes, e dialoga com Massey (2008), porque as experiências digitais acontecem dentro do espaço social e participam das relações, das trajetórias e das desigualdades que constituem o lugar.</w:t>
      </w:r>
    </w:p>
    <w:p>
      <w:pPr>
        <w:spacing w:line="360" w:lineRule="auto" w:after="0" w:before="0"/>
        <w:ind w:firstLine="709"/>
        <w:jc w:val="both"/>
      </w:pPr>
      <w:r>
        <w:rPr>
          <w:b w:val="0"/>
          <w:i w:val="0"/>
        </w:rPr>
        <w:t>Por essa razão, habitar o digital é, nesta tese, mais do que acesso à internet ou posse de equipamentos. A expressão orienta duas perguntas. A primeira diz respeito ao território e indaga como se habita o digital quando a tecnologia está intensamente presente em certos circuitos do distrito e pouco presente nos espaços destinados à educação. A segunda diz respeito à escola e indaga que formas de participação, uso, apropriação e experiência digital se tornam possíveis, ou permanecem restritas, para as crianças nessas condições. A formulação será confrontada com os dados e poderá ser aprofundada, revista ou tensionada ao longo da investigação. A segunda pergunta leva diretamente aos direitos das crianças no ambiente digital.</w:t>
      </w:r>
    </w:p>
    <w:p>
      <w:pPr>
        <w:pStyle w:val="Heading1"/>
        <w:pageBreakBefore/>
      </w:pPr>
      <w:r>
        <w:t>8 EDUCAÇÃO DIGITAL E DIREITOS DAS CRIANÇAS</w:t>
      </w:r>
    </w:p>
    <w:p>
      <w:pPr>
        <w:spacing w:line="360" w:lineRule="auto" w:after="0" w:before="0"/>
        <w:ind w:firstLine="709"/>
        <w:jc w:val="both"/>
      </w:pPr>
      <w:r>
        <w:rPr>
          <w:b w:val="0"/>
          <w:i w:val="0"/>
        </w:rPr>
        <w:t>A discussão sobre os direitos das crianças no ambiente digital é um desdobramento da análise e responde ao objetivo específico (d). As crianças estão no fim do caminho que a política percorre, e é em nome delas que a PNED se justifica. Esta pesquisa ouve os profissionais da educação, e por isso o que se poderá dizer sobre as crianças virá das condições documentadas e das compreensões desses profissionais, sem que se pressuponham efeitos sobre elas.</w:t>
      </w:r>
    </w:p>
    <w:p>
      <w:pPr>
        <w:spacing w:line="360" w:lineRule="auto" w:after="0" w:before="0"/>
        <w:ind w:firstLine="709"/>
        <w:jc w:val="both"/>
      </w:pPr>
      <w:r>
        <w:rPr>
          <w:b w:val="0"/>
          <w:i w:val="0"/>
        </w:rPr>
        <w:t>O Comentário Geral nº 25, do Comitê dos Direitos da Criança das Nações Unidas, reconhece a importância crescente do ambiente digital na vida das crianças e orienta os Estados a garantir-lhes acesso equitativo a recursos digitais, à educação e à participação, assegurando ao mesmo tempo proteção, privacidade e segurança (ONU, 2021). O documento atribui aos sistemas educacionais a responsabilidade por infraestrutura adequada, pela formação dos profissionais e por condições para uma educação digital que envolva criação, colaboração, participação, cidadania e compreensão crítica do ambiente digital. No Brasil, o debate ganhou nova densidade com a Lei nº 15.211/2025, o Estatuto Digital da Criança e do Adolescente, que dispõe sobre a proteção de crianças e adolescentes em ambientes digitais e entrou em vigor em 17 de março de 2026 (BRASIL, 2025b).</w:t>
      </w:r>
    </w:p>
    <w:p>
      <w:pPr>
        <w:spacing w:line="360" w:lineRule="auto" w:after="0" w:before="0"/>
        <w:ind w:firstLine="709"/>
        <w:jc w:val="both"/>
      </w:pPr>
      <w:r>
        <w:rPr>
          <w:b w:val="0"/>
          <w:i w:val="0"/>
        </w:rPr>
        <w:t>Em diálogo com esses documentos, organizamos a análise em três dimensões, que constituem uma organização analítica própria da tese. A provisão diz respeito às condições necessárias para que as crianças tenham acesso significativo à educação digital, como equipamentos, conectividade, tempo e profissionais formados. A proteção envolve a segurança, a privacidade, o cuidado e o enfrentamento dos riscos presentes nos ambientes digitais. A participação refere-se às possibilidades de as crianças acessarem informação, produzirem, criarem, comunicarem-se, expressarem opiniões e tomarem parte da cultura digital como sujeitos. Com essas dimensões, buscaremos compreender como as diferentes formas de encenação da PNED na Escola Municipal Domitila Castelo podem ampliar, limitar ou reorganizar as possibilidades de as crianças de Pipa habitarem o digital. Para chegar a essa compreensão, a pesquisa adota o percurso metodológico apresentado a seguir.</w:t>
      </w:r>
    </w:p>
    <w:p>
      <w:pPr>
        <w:pStyle w:val="Heading1"/>
        <w:pageBreakBefore/>
        <w:jc w:val="center"/>
      </w:pPr>
      <w:r>
        <w:t>REFERÊNCIAS</w:t>
      </w:r>
    </w:p>
    <w:p>
      <w:pPr>
        <w:spacing w:line="240" w:lineRule="auto" w:after="240" w:before="0"/>
        <w:ind w:firstLine="0"/>
        <w:jc w:val="left"/>
      </w:pPr>
      <w:r>
        <w:rPr>
          <w:b w:val="0"/>
          <w:i w:val="0"/>
        </w:rPr>
        <w:t xml:space="preserve">BALL, Stephen J. Reformar escolas/reformar professores e os terrores da performatividade. </w:t>
      </w:r>
      <w:r>
        <w:rPr>
          <w:b/>
          <w:i w:val="0"/>
        </w:rPr>
        <w:t>Revista Portuguesa de Educação</w:t>
      </w:r>
      <w:r>
        <w:rPr>
          <w:b w:val="0"/>
          <w:i w:val="0"/>
        </w:rPr>
        <w:t>, Braga, v. 15, n. 2, p. 3-23, 2002.</w:t>
      </w:r>
    </w:p>
    <w:p>
      <w:pPr>
        <w:spacing w:line="240" w:lineRule="auto" w:after="240" w:before="0"/>
        <w:ind w:firstLine="0"/>
        <w:jc w:val="left"/>
      </w:pPr>
      <w:r>
        <w:rPr>
          <w:b w:val="0"/>
          <w:i w:val="0"/>
        </w:rPr>
        <w:t xml:space="preserve">BALL, Stephen J. Performatividade, privatização e o pós-Estado do bem-estar. </w:t>
      </w:r>
      <w:r>
        <w:rPr>
          <w:b/>
          <w:i w:val="0"/>
        </w:rPr>
        <w:t>Educação &amp; Sociedade</w:t>
      </w:r>
      <w:r>
        <w:rPr>
          <w:b w:val="0"/>
          <w:i w:val="0"/>
        </w:rPr>
        <w:t>, Campinas, v. 25, n. 89, p. 1105-1126, 2004.</w:t>
      </w:r>
    </w:p>
    <w:p>
      <w:pPr>
        <w:spacing w:line="240" w:lineRule="auto" w:after="240" w:before="0"/>
        <w:ind w:firstLine="0"/>
        <w:jc w:val="left"/>
      </w:pPr>
      <w:r>
        <w:rPr>
          <w:b w:val="0"/>
          <w:i w:val="0"/>
        </w:rPr>
        <w:t xml:space="preserve">BALL, Stephen J.; MAGUIRE, Meg; BRAUN, Annette. </w:t>
      </w:r>
      <w:r>
        <w:rPr>
          <w:b/>
          <w:i w:val="0"/>
        </w:rPr>
        <w:t>Como as escolas fazem as políticas</w:t>
      </w:r>
      <w:r>
        <w:rPr>
          <w:b w:val="0"/>
          <w:i w:val="0"/>
        </w:rPr>
        <w:t>: atuação em escolas secundárias. Ponta Grossa: Editora UEPG, 2016.</w:t>
      </w:r>
    </w:p>
    <w:p>
      <w:pPr>
        <w:spacing w:line="240" w:lineRule="auto" w:after="240" w:before="0"/>
        <w:ind w:firstLine="0"/>
        <w:jc w:val="left"/>
      </w:pPr>
      <w:r>
        <w:rPr>
          <w:b w:val="0"/>
          <w:i w:val="0"/>
        </w:rPr>
        <w:t xml:space="preserve">BOWE, Richard; BALL, Stephen J.; GOLD, Anne. </w:t>
      </w:r>
      <w:r>
        <w:rPr>
          <w:b/>
          <w:i w:val="0"/>
        </w:rPr>
        <w:t>Reforming education and changing schools</w:t>
      </w:r>
      <w:r>
        <w:rPr>
          <w:b w:val="0"/>
          <w:i w:val="0"/>
        </w:rPr>
        <w:t>: case studies in policy sociology. London: Routledge, 1992.</w:t>
      </w:r>
    </w:p>
    <w:p>
      <w:pPr>
        <w:spacing w:line="240" w:lineRule="auto" w:after="240" w:before="0"/>
        <w:ind w:firstLine="0"/>
        <w:jc w:val="left"/>
      </w:pPr>
      <w:r>
        <w:rPr>
          <w:b w:val="0"/>
          <w:i w:val="0"/>
        </w:rPr>
        <w:t>BRASIL. Lei nº 14.533, de 11 de janeiro de 2023. Institui a Política Nacional de Educação Digital. Brasília, DF: Presidência da República, 2023.</w:t>
      </w:r>
    </w:p>
    <w:p>
      <w:pPr>
        <w:spacing w:line="240" w:lineRule="auto" w:after="240" w:before="0"/>
        <w:ind w:firstLine="0"/>
        <w:jc w:val="left"/>
      </w:pPr>
      <w:r>
        <w:rPr>
          <w:b w:val="0"/>
          <w:i w:val="0"/>
        </w:rPr>
        <w:t>BRASIL. Conselho Nacional de Educação. Câmara de Educação Básica. Resolução CNE/CEB nº 2, de 21 de março de 2025. Institui as Diretrizes Operacionais Nacionais sobre o uso de dispositivos digitais em espaços escolares e integração curricular de educação digital e midiática. Brasília, DF: CNE, 2025a.</w:t>
      </w:r>
    </w:p>
    <w:p>
      <w:pPr>
        <w:spacing w:line="240" w:lineRule="auto" w:after="240" w:before="0"/>
        <w:ind w:firstLine="0"/>
        <w:jc w:val="left"/>
      </w:pPr>
      <w:r>
        <w:rPr>
          <w:b w:val="0"/>
          <w:i w:val="0"/>
        </w:rPr>
        <w:t>BRASIL. Lei nº 15.211, de 17 de setembro de 2025. Dispõe sobre a proteção de crianças e adolescentes em ambientes digitais (Estatuto Digital da Criança e do Adolescente). Brasília, DF: Presidência da República, 2025b.</w:t>
      </w:r>
    </w:p>
    <w:p>
      <w:pPr>
        <w:spacing w:line="240" w:lineRule="auto" w:after="240" w:before="0"/>
        <w:ind w:firstLine="0"/>
        <w:jc w:val="left"/>
      </w:pPr>
      <w:r>
        <w:rPr>
          <w:b w:val="0"/>
          <w:i w:val="0"/>
        </w:rPr>
        <w:t xml:space="preserve">DI FELICE, Massimo. </w:t>
      </w:r>
      <w:r>
        <w:rPr>
          <w:b/>
          <w:i w:val="0"/>
        </w:rPr>
        <w:t>Paisagens pós-urbanas</w:t>
      </w:r>
      <w:r>
        <w:rPr>
          <w:b w:val="0"/>
          <w:i w:val="0"/>
        </w:rPr>
        <w:t>: o fim da experiência urbana e as formas comunicativas do habitar. São Paulo: Annablume, 2009.</w:t>
      </w:r>
    </w:p>
    <w:p>
      <w:pPr>
        <w:spacing w:line="240" w:lineRule="auto" w:after="240" w:before="0"/>
        <w:ind w:firstLine="0"/>
        <w:jc w:val="left"/>
      </w:pPr>
      <w:r>
        <w:rPr>
          <w:b w:val="0"/>
          <w:i w:val="0"/>
        </w:rPr>
        <w:t xml:space="preserve">HARGREAVES, Andy. </w:t>
      </w:r>
      <w:r>
        <w:rPr>
          <w:b/>
          <w:i w:val="0"/>
        </w:rPr>
        <w:t>Profesorado, cultura y postmodernidad</w:t>
      </w:r>
      <w:r>
        <w:rPr>
          <w:b w:val="0"/>
          <w:i w:val="0"/>
        </w:rPr>
        <w:t>: cambian los tiempos, cambia el profesorado. 5. ed. Madrid: Morata, 2005.</w:t>
      </w:r>
    </w:p>
    <w:p>
      <w:pPr>
        <w:spacing w:line="240" w:lineRule="auto" w:after="240" w:before="0"/>
        <w:ind w:firstLine="0"/>
        <w:jc w:val="left"/>
      </w:pPr>
      <w:r>
        <w:rPr>
          <w:b w:val="0"/>
          <w:i w:val="0"/>
        </w:rPr>
        <w:t xml:space="preserve">MAINARDES, Jefferson. Abordagem do ciclo de políticas: uma contribuição para a análise de políticas educacionais. </w:t>
      </w:r>
      <w:r>
        <w:rPr>
          <w:b/>
          <w:i w:val="0"/>
        </w:rPr>
        <w:t>Educação &amp; Sociedade</w:t>
      </w:r>
      <w:r>
        <w:rPr>
          <w:b w:val="0"/>
          <w:i w:val="0"/>
        </w:rPr>
        <w:t>, Campinas, v. 27, n. 94, p. 47-69, 2006.</w:t>
      </w:r>
    </w:p>
    <w:p>
      <w:pPr>
        <w:spacing w:line="240" w:lineRule="auto" w:after="240" w:before="0"/>
        <w:ind w:firstLine="0"/>
        <w:jc w:val="left"/>
      </w:pPr>
      <w:r>
        <w:rPr>
          <w:b w:val="0"/>
          <w:i w:val="0"/>
        </w:rPr>
        <w:t xml:space="preserve">MASSEY, Doreen. </w:t>
      </w:r>
      <w:r>
        <w:rPr>
          <w:b/>
          <w:i w:val="0"/>
        </w:rPr>
        <w:t>Pelo espaço</w:t>
      </w:r>
      <w:r>
        <w:rPr>
          <w:b w:val="0"/>
          <w:i w:val="0"/>
        </w:rPr>
        <w:t>: uma nova política da espacialidade. Rio de Janeiro: Bertrand Brasil, 2008.</w:t>
      </w:r>
    </w:p>
    <w:p>
      <w:pPr>
        <w:spacing w:line="240" w:lineRule="auto" w:after="240" w:before="0"/>
        <w:ind w:firstLine="0"/>
        <w:jc w:val="left"/>
      </w:pPr>
      <w:r>
        <w:rPr>
          <w:b w:val="0"/>
          <w:i w:val="0"/>
        </w:rPr>
        <w:t xml:space="preserve">ONU. Comitê dos Direitos da Criança. </w:t>
      </w:r>
      <w:r>
        <w:rPr>
          <w:b/>
          <w:i w:val="0"/>
        </w:rPr>
        <w:t>Comentário Geral nº 25 (2021) sobre os direitos das crianças em relação ao ambiente digital</w:t>
      </w:r>
      <w:r>
        <w:rPr>
          <w:b w:val="0"/>
          <w:i w:val="0"/>
        </w:rPr>
        <w:t>. Genebra: Organização das Nações Unidas, 2021.</w:t>
      </w:r>
    </w:p>
    <w:p>
      <w:pPr>
        <w:spacing w:line="240" w:lineRule="auto" w:after="240" w:before="0"/>
        <w:ind w:firstLine="0"/>
        <w:jc w:val="left"/>
      </w:pPr>
      <w:r>
        <w:rPr>
          <w:b w:val="0"/>
          <w:i w:val="0"/>
        </w:rPr>
        <w:t xml:space="preserve">SANTOS, Milton. O território e o saber local: algumas categorias de análise. </w:t>
      </w:r>
      <w:r>
        <w:rPr>
          <w:b/>
          <w:i w:val="0"/>
        </w:rPr>
        <w:t>Cadernos IPPUR</w:t>
      </w:r>
      <w:r>
        <w:rPr>
          <w:b w:val="0"/>
          <w:i w:val="0"/>
        </w:rPr>
        <w:t>, Rio de Janeiro, ano 13, n. 2, p. 15-26, 1999.</w:t>
      </w:r>
    </w:p>
    <w:p>
      <w:pPr>
        <w:spacing w:line="240" w:lineRule="auto" w:after="240" w:before="0"/>
        <w:ind w:firstLine="0"/>
        <w:jc w:val="left"/>
      </w:pPr>
      <w:r>
        <w:rPr>
          <w:b w:val="0"/>
          <w:i w:val="0"/>
        </w:rPr>
        <w:t xml:space="preserve">SANTOS, Milton. </w:t>
      </w:r>
      <w:r>
        <w:rPr>
          <w:b/>
          <w:i w:val="0"/>
        </w:rPr>
        <w:t>Pensando o espaço do homem</w:t>
      </w:r>
      <w:r>
        <w:rPr>
          <w:b w:val="0"/>
          <w:i w:val="0"/>
        </w:rPr>
        <w:t>. 5. ed. São Paulo: Editora da Universidade de São Paulo, 2004.</w:t>
      </w:r>
    </w:p>
    <w:p>
      <w:pPr>
        <w:spacing w:line="240" w:lineRule="auto" w:after="240" w:before="0"/>
        <w:ind w:firstLine="0"/>
        <w:jc w:val="left"/>
      </w:pPr>
      <w:r>
        <w:rPr>
          <w:b w:val="0"/>
          <w:i w:val="0"/>
        </w:rPr>
        <w:t xml:space="preserve">SANTOS, Milton. </w:t>
      </w:r>
      <w:r>
        <w:rPr>
          <w:b/>
          <w:i w:val="0"/>
        </w:rPr>
        <w:t>A natureza do espaço</w:t>
      </w:r>
      <w:r>
        <w:rPr>
          <w:b w:val="0"/>
          <w:i w:val="0"/>
        </w:rPr>
        <w:t>: técnica e tempo, razão e emoção. 4. ed. 2. reimpr. São Paulo: Editora da Universidade de São Paulo, 2006.</w:t>
      </w:r>
    </w:p>
    <w:p>
      <w:pPr>
        <w:spacing w:line="240" w:lineRule="auto" w:after="240" w:before="0"/>
        <w:ind w:firstLine="0"/>
        <w:jc w:val="left"/>
      </w:pPr>
      <w:r>
        <w:rPr>
          <w:b w:val="0"/>
          <w:i w:val="0"/>
        </w:rPr>
        <w:t xml:space="preserve">SCHLEMMER, Eliane; BACKES, Luciana; BITTENCOURT, João Ricardo; PALAGI, Ana Maria (org.). </w:t>
      </w:r>
      <w:r>
        <w:rPr>
          <w:b/>
          <w:i w:val="0"/>
        </w:rPr>
        <w:t>O habitar do ensinar e do aprender OnLIFE</w:t>
      </w:r>
      <w:r>
        <w:rPr>
          <w:b w:val="0"/>
          <w:i w:val="0"/>
        </w:rPr>
        <w:t>: vivências na educação contemporânea. São Leopoldo: Casa Leiria, 2021.</w:t>
      </w:r>
    </w:p>
    <w:sectPr w:rsidR="00FC693F" w:rsidRPr="0006063C" w:rsidSect="00034616">
      <w:headerReference w:type="default" r:id="rId9"/>
      <w:pgSz w:w="11906" w:h="16838"/>
      <w:pgMar w:top="1701" w:right="1134" w:bottom="1134" w:left="1701" w:header="1134" w:footer="720" w:gutter="0"/>
      <w:cols w:space="720"/>
      <w:docGrid w:linePitch="360"/>
      <w:pgNumType w:start="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0"/>
      </w:rPr>
      <w:fldChar w:fldCharType="begin"/>
    </w:r>
    <w:r>
      <w:rPr>
        <w:rFonts w:ascii="Times New Roman" w:hAnsi="Times New Roman"/>
        <w:sz w:val="20"/>
      </w:rPr>
      <w:instrText xml:space="preserve">PAGE</w:instrText>
    </w:r>
    <w:r>
      <w:rPr>
        <w:rFonts w:ascii="Times New Roman" w:hAnsi="Times New Roman"/>
        <w:sz w:val="20"/>
      </w:rPr>
      <w:fldChar w:fldCharType="separate"/>
    </w:r>
    <w:r>
      <w:rPr>
        <w:rFonts w:ascii="Times New Roman" w:hAnsi="Times New Roman"/>
        <w:sz w:val="20"/>
      </w:rPr>
      <w:t>3</w:t>
    </w:r>
    <w:r>
      <w:rPr>
        <w:rFonts w:ascii="Times New Roman" w:hAnsi="Times New Roman"/>
        <w:sz w:val="20"/>
      </w:rPr>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360" w:line="360" w:lineRule="auto"/>
      <w:ind w:firstLine="0"/>
      <w:jc w:val="left"/>
      <w:outlineLvl w:val="0"/>
    </w:pPr>
    <w:rPr>
      <w:rFonts w:ascii="Times New Roman" w:hAnsi="Times New Roman" w:eastAsia="Times New Roman" w:cs="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360" w:after="360" w:line="360" w:lineRule="auto"/>
      <w:ind w:firstLine="0"/>
      <w:jc w:val="left"/>
      <w:outlineLvl w:val="1"/>
    </w:pPr>
    <w:rPr>
      <w:rFonts w:ascii="Times New Roman" w:hAnsi="Times New Roman" w:eastAsia="Times New Roman" w:cs="Times New Roman"/>
      <w:b w:val="0"/>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