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A ENCENAÇÃO DA POLÍTICA NACIONAL DE EDUCAÇÃO DIGITAL (PNED) EM PIPA/RN: CULTURAS PROFISSIONAIS, TERRITÓRIO E RESISTÊNCIAS NO CONTEXTO DA PRÁTICA</w:t>
      </w:r>
    </w:p>
    <w:p>
      <w:pPr>
        <w:jc w:val="center"/>
      </w:pPr>
      <w:r>
        <w:rPr>
          <w:sz w:val="20"/>
        </w:rPr>
        <w:t>Proposta de pesquisa – Yzynya Silva Rezende Machado | Orientadora: Profa. Dra. Maria Cristina Leandro de Paiva | PPGEd/UFRN</w:t>
      </w:r>
    </w:p>
    <w:p>
      <w:pPr>
        <w:keepNext/>
        <w:spacing w:before="120" w:after="40" w:line="240" w:lineRule="auto"/>
      </w:pPr>
      <w:r>
        <w:rPr>
          <w:b/>
        </w:rPr>
        <w:t>1 OBJETO</w:t>
      </w:r>
    </w:p>
    <w:p>
      <w:pPr>
        <w:spacing w:line="360" w:lineRule="auto" w:after="0"/>
        <w:ind w:firstLine="709"/>
        <w:jc w:val="both"/>
      </w:pPr>
      <w:r>
        <w:t>A Lei nº 14.533/2023 fez da educação digital um direito e um componente curricular do ensino fundamental, obrigatório nos currículos a partir de 2026, mas deixou a chegada dos meios à capacidade de cada ente federado, sem fundo próprio. É nessa distância que a pesquisa se situa. O objeto é a encenação da PNED, em seu eixo Educação Digital Escolar, pelos profissionais da educação que atuam nos anos iniciais (1º ao 5º ano) da Escola Municipal Domitila Castelo, no distrito de Pipa, em Tibau do Sul (RN). Chamamos de encenação o movimento pelo qual esses profissionais interpretam a política, produzindo sentidos sobre o que o texto pede, e a traduzem em ações, planejamentos e registros possíveis naquela escola, com aqueles recursos.</w:t>
      </w:r>
    </w:p>
    <w:p>
      <w:pPr>
        <w:keepNext/>
        <w:spacing w:before="120" w:after="40" w:line="240" w:lineRule="auto"/>
      </w:pPr>
      <w:r>
        <w:rPr>
          <w:b/>
        </w:rPr>
        <w:t>2 QUESTÃO DE PESQUISA</w:t>
      </w:r>
    </w:p>
    <w:p>
      <w:pPr>
        <w:spacing w:line="360" w:lineRule="auto" w:after="0"/>
        <w:ind w:firstLine="709"/>
        <w:jc w:val="both"/>
      </w:pPr>
      <w:r>
        <w:t>Como os profissionais da educação encenam, isto é, interpretam e traduzem, a PNED no contexto da prática da Escola Municipal Domitila Castelo, em Pipa (RN), e de que maneira as especificidades socioespaciais do território, aliadas às culturas profissionais locais, operam como espaços de ressignificação ou de resistência frente à normativa e às pressões da performatividade?</w:t>
      </w:r>
    </w:p>
    <w:p>
      <w:pPr>
        <w:keepNext/>
        <w:spacing w:before="120" w:after="40" w:line="240" w:lineRule="auto"/>
      </w:pPr>
      <w:r>
        <w:rPr>
          <w:b/>
        </w:rPr>
        <w:t>3 OBJETIVOS</w:t>
      </w:r>
    </w:p>
    <w:p>
      <w:pPr>
        <w:spacing w:line="360" w:lineRule="auto" w:after="0"/>
        <w:ind w:firstLine="709"/>
        <w:jc w:val="both"/>
      </w:pPr>
      <w:r>
        <w:rPr>
          <w:b/>
        </w:rPr>
        <w:t>Geral:</w:t>
      </w:r>
      <w:r>
        <w:t xml:space="preserve"> analisar a encenação da PNED pelos profissionais da educação no contexto da prática da Escola Municipal Domitila Castelo, investigando as dinâmicas de recontextualização e de resistência produzidas no cruzamento entre a normativa, as culturas profissionais da escola e as especificidades do território.</w:t>
      </w:r>
    </w:p>
    <w:p>
      <w:pPr>
        <w:spacing w:line="360" w:lineRule="auto" w:after="0"/>
        <w:ind w:firstLine="709"/>
        <w:jc w:val="both"/>
      </w:pPr>
      <w:r>
        <w:rPr>
          <w:b/>
        </w:rPr>
        <w:t>Específicos:</w:t>
      </w:r>
      <w:r>
        <w:t xml:space="preserve"> a) investigar como os diferentes profissionais decodificam os textos da PNED e os discursos sobre cultura digital a partir de suas culturas profissionais; b) mapear as táticas institucionais e pedagógicas mobilizadas para traduzir a política no cotidiano, considerando a dimensão material da escola e o território; c) identificar lógicas de performatividade derivadas das exigências da PNED e analisar as estratégias de ressignificação e de resistência adotadas diante delas.</w:t>
      </w:r>
    </w:p>
    <w:p>
      <w:pPr>
        <w:keepNext/>
        <w:spacing w:before="120" w:after="40" w:line="240" w:lineRule="auto"/>
      </w:pPr>
      <w:r>
        <w:rPr>
          <w:b/>
        </w:rPr>
        <w:t>4 INEDITISMO</w:t>
      </w:r>
    </w:p>
    <w:p>
      <w:pPr>
        <w:spacing w:line="360" w:lineRule="auto" w:after="0"/>
        <w:ind w:firstLine="709"/>
        <w:jc w:val="both"/>
      </w:pPr>
      <w:r>
        <w:t>A primeira é empírico-temporal: acompanhamos a PNED no momento em que a exigência curricular se torna obrigatória. A revisão sistemática que realizamos (PRISMA 2020) reuniu nove estudos; nenhum analisa a PNED, um só delimita o ciclo de alfabetização e nenhum trata de rede municipal de pequeno porte. A segunda é analítico-espacial: Pipa é força ativa do contexto da prática, e não cenário. No mesmo distrito, o digital move o turismo, a pesca segue no mesmo mar e as salas que registramos não têm dispositivo algum. A terceira é teórico-conceitual: em vez de medir a escola pelo acesso e de ler a distância entre a norma e a sala de aula como falha de implementação, propomos a noção de habitar o digital, que nomeia a experiência desigual de viver a cultura digital num mesmo território, e tomamos essa distância como processo político, no qual os profissionais também fazem política. A tese que propomos defender, como hipótese até o fim do campo, é a de que o território e as culturas profissionais operam, em Pipa, como espaços de ressignificação ou de resistência frente à PNED e à performatividade.</w:t>
      </w:r>
    </w:p>
    <w:p>
      <w:pPr>
        <w:keepNext/>
        <w:spacing w:before="120" w:after="40" w:line="240" w:lineRule="auto"/>
      </w:pPr>
      <w:r>
        <w:rPr>
          <w:b/>
        </w:rPr>
        <w:t>5 REFERENCIAL TEÓRICO-METODOLÓGICO</w:t>
      </w:r>
    </w:p>
    <w:p>
      <w:pPr>
        <w:spacing w:line="360" w:lineRule="auto" w:after="0"/>
        <w:ind w:firstLine="709"/>
        <w:jc w:val="both"/>
      </w:pPr>
      <w:r>
        <w:t>Com a Abordagem do Ciclo de Políticas (BOWE; BALL; GOLD, 1992; MAINARDES, 2006), tomamos a política como processo, interpretado e recriado no contexto da prática. A teoria da atuação (BALL; MAGUIRE; BRAUN, 2016) trata a escola como lugar onde a política também é feita e organiza a análise em quatro dimensões do contexto: situacional, culturas profissionais, material e externa. As culturas profissionais são lidas com Hargreaves (2005), em seu conteúdo (crenças, valores, hábitos) e em sua forma (os modos de relação entre os professores). A performatividade (BALL, 2004) e as fabricações (BALL, 2002) ajudam a ler as cobranças por registros e resultados. O território é território usado (SANTOS, 1999), e o lugar, encontro de trajetórias (MASSEY, 2008). Os direitos da criança no ambiente digital (provisão, participação e proteção) completam o quadro (ONU, 2021).</w:t>
      </w:r>
    </w:p>
    <w:p>
      <w:pPr>
        <w:keepNext/>
        <w:spacing w:before="120" w:after="40" w:line="240" w:lineRule="auto"/>
      </w:pPr>
      <w:r>
        <w:rPr>
          <w:b/>
        </w:rPr>
        <w:t>6 METODOLOGIA: COMO OS DADOS SERÃO CONSTRUÍDOS</w:t>
      </w:r>
    </w:p>
    <w:p>
      <w:pPr>
        <w:spacing w:line="360" w:lineRule="auto" w:after="0"/>
        <w:ind w:firstLine="709"/>
        <w:jc w:val="both"/>
      </w:pPr>
      <w:r>
        <w:t>A pesquisa é qualitativa, crítico-interpretativa, organizada como estudo de caso (YIN, 2001). Participam todos os profissionais da educação dos anos iniciais que aceitarem o convite, porque todos constroem a política: docentes do 1º ao 5º ano, coordenação, direção e demais profissionais ligados às turmas. Os dados serão construídos em seis passos.</w:t>
      </w:r>
    </w:p>
    <w:p>
      <w:pPr>
        <w:spacing w:line="360" w:lineRule="auto" w:after="0"/>
        <w:ind w:firstLine="709"/>
        <w:jc w:val="both"/>
      </w:pPr>
      <w:r>
        <w:rPr>
          <w:b/>
        </w:rPr>
        <w:t>Passo 1, entrada e ética:</w:t>
      </w:r>
      <w:r>
        <w:t xml:space="preserve"> emenda ao CEP, anuência da escola, TCLE e registro datado dos critérios de exame da hipótese antes da primeira entrevista.</w:t>
      </w:r>
    </w:p>
    <w:p>
      <w:pPr>
        <w:spacing w:line="360" w:lineRule="auto" w:after="0"/>
        <w:ind w:firstLine="709"/>
        <w:jc w:val="both"/>
      </w:pPr>
      <w:r>
        <w:rPr>
          <w:b/>
        </w:rPr>
        <w:t>Passo 2, análise documental:</w:t>
      </w:r>
      <w:r>
        <w:t xml:space="preserve"> lei e veto, Resolução CNE/CEB nº 2/2025, PPP, planos de aula, atas, cadernos de uso do laboratório, registros de formação da Secretaria e documentos da PIEC.</w:t>
      </w:r>
    </w:p>
    <w:p>
      <w:pPr>
        <w:spacing w:line="360" w:lineRule="auto" w:after="0"/>
        <w:ind w:firstLine="709"/>
        <w:jc w:val="both"/>
      </w:pPr>
      <w:r>
        <w:rPr>
          <w:b/>
        </w:rPr>
        <w:t>Passo 3, registro iconográfico:</w:t>
      </w:r>
      <w:r>
        <w:t xml:space="preserve"> já realizado (38 figuras da escola e do acervo do Museu Digital de Pipa), a completar com testes de conexão nas salas.</w:t>
      </w:r>
    </w:p>
    <w:p>
      <w:pPr>
        <w:spacing w:line="360" w:lineRule="auto" w:after="0"/>
        <w:ind w:firstLine="709"/>
        <w:jc w:val="both"/>
      </w:pPr>
      <w:r>
        <w:rPr>
          <w:b/>
        </w:rPr>
        <w:t>Passo 4, questionário de perfil e percepções:</w:t>
      </w:r>
      <w:r>
        <w:t xml:space="preserve"> presencial, em formulário digital, com cinco blocos (perfil, formação, condições materiais e território, PNED e registros, direitos da criança).</w:t>
      </w:r>
    </w:p>
    <w:p>
      <w:pPr>
        <w:spacing w:line="360" w:lineRule="auto" w:after="0"/>
        <w:ind w:firstLine="709"/>
        <w:jc w:val="both"/>
      </w:pPr>
      <w:r>
        <w:rPr>
          <w:b/>
        </w:rPr>
        <w:t>Passo 5, entrevistas semiestruturadas em profundidade:</w:t>
      </w:r>
      <w:r>
        <w:t xml:space="preserve"> individuais, de 60 a 90 minutos, em seis eixos (culturas profissionais, interpretação, tradução, performatividade, resistência e direitos da criança), adaptadas a cada função. As categorias analíticas não aparecem nas perguntas.</w:t>
      </w:r>
    </w:p>
    <w:p>
      <w:pPr>
        <w:spacing w:line="360" w:lineRule="auto" w:after="0"/>
        <w:ind w:firstLine="709"/>
        <w:jc w:val="both"/>
      </w:pPr>
      <w:r>
        <w:rPr>
          <w:b/>
        </w:rPr>
        <w:t>Passo 6, análise e devolutiva:</w:t>
      </w:r>
      <w:r>
        <w:t xml:space="preserve"> análise temática reflexiva (BRAUN; CLARKE, 2006, 2019), orientada pelas dimensões do contexto e pelo mapeamento de quatro movimentos (acomodação, omissão seletiva, tradução para fins locais e fabricação performativa), com triangulação das fontes, checagem dos relatos e devolução dos resultados à escola.</w:t>
      </w:r>
    </w:p>
    <w:p>
      <w:pPr>
        <w:spacing w:line="360" w:lineRule="auto" w:after="0"/>
        <w:ind w:firstLine="709"/>
        <w:jc w:val="both"/>
      </w:pPr>
      <w:r>
        <w:t>A hipótese pode falhar, e a acomodação à norma também será resultado. Permanece a pergunta que move a pesquisa: quando a política não faz chegar o equipamento nem a formação, quem paga, no silêncio do cotidiano escolar, o preço dessa ausência?</w:t>
      </w:r>
    </w:p>
    <w:p>
      <w:pPr>
        <w:keepNext/>
        <w:spacing w:before="120" w:after="40" w:line="240" w:lineRule="auto"/>
      </w:pPr>
      <w:r>
        <w:rPr>
          <w:b/>
        </w:rPr>
        <w:t>REFERÊNCIAS</w:t>
      </w:r>
    </w:p>
    <w:p>
      <w:pPr>
        <w:spacing w:line="240" w:lineRule="auto" w:after="60"/>
      </w:pPr>
      <w:r>
        <w:rPr>
          <w:sz w:val="20"/>
        </w:rPr>
        <w:t>BALL, S. J. Reformar escolas/reformar professores e os terrores da performatividade. Revista Portuguesa de Educação, Braga, v. 15, n. 2, p. 3-23, 2002.</w:t>
      </w:r>
    </w:p>
    <w:p>
      <w:pPr>
        <w:spacing w:line="240" w:lineRule="auto" w:after="60"/>
      </w:pPr>
      <w:r>
        <w:rPr>
          <w:sz w:val="20"/>
        </w:rPr>
        <w:t>BALL, S. J. Performatividade, privatização e o pós-Estado do bem-estar. Educação &amp; Sociedade, Campinas, v. 25, n. 89, p. 1105-1126, 2004.</w:t>
      </w:r>
    </w:p>
    <w:p>
      <w:pPr>
        <w:spacing w:line="240" w:lineRule="auto" w:after="60"/>
      </w:pPr>
      <w:r>
        <w:rPr>
          <w:sz w:val="20"/>
        </w:rPr>
        <w:t>BALL, S. J.; MAGUIRE, M.; BRAUN, A. Como as escolas fazem as políticas: atuação em escolas secundárias. Ponta Grossa: Editora UEPG, 2016.</w:t>
      </w:r>
    </w:p>
    <w:p>
      <w:pPr>
        <w:spacing w:line="240" w:lineRule="auto" w:after="60"/>
      </w:pPr>
      <w:r>
        <w:rPr>
          <w:sz w:val="20"/>
        </w:rPr>
        <w:t>BOWE, R.; BALL, S. J.; GOLD, A. Reforming education and changing schools. London: Routledge, 1992.</w:t>
      </w:r>
    </w:p>
    <w:p>
      <w:pPr>
        <w:spacing w:line="240" w:lineRule="auto" w:after="60"/>
      </w:pPr>
      <w:r>
        <w:rPr>
          <w:sz w:val="20"/>
        </w:rPr>
        <w:t>BRASIL. Lei nº 14.533, de 11 de janeiro de 2023. Institui a Política Nacional de Educação Digital. Brasília, DF: DOU, 2023.</w:t>
      </w:r>
    </w:p>
    <w:p>
      <w:pPr>
        <w:spacing w:line="240" w:lineRule="auto" w:after="60"/>
      </w:pPr>
      <w:r>
        <w:rPr>
          <w:sz w:val="20"/>
        </w:rPr>
        <w:t>BRAUN, V.; CLARKE, V. Using thematic analysis in psychology. Qualitative Research in Psychology, v. 3, n. 2, p. 77-101, 2006. | Reflecting on reflexive thematic analysis. Qualitative Research in Sport, Exercise and Health, v. 11, n. 4, p. 589-597, 2019.</w:t>
      </w:r>
    </w:p>
    <w:p>
      <w:pPr>
        <w:spacing w:line="240" w:lineRule="auto" w:after="60"/>
      </w:pPr>
      <w:r>
        <w:rPr>
          <w:sz w:val="20"/>
        </w:rPr>
        <w:t>HARGREAVES, A. Profesorado, cultura y postmodernidad: cambian los tiempos, cambia el profesorado. 5. ed. Madrid: Morata, 2005.</w:t>
      </w:r>
    </w:p>
    <w:p>
      <w:pPr>
        <w:spacing w:line="240" w:lineRule="auto" w:after="60"/>
      </w:pPr>
      <w:r>
        <w:rPr>
          <w:sz w:val="20"/>
        </w:rPr>
        <w:t>MAINARDES, J. Abordagem do ciclo de políticas. Educação &amp; Sociedade, Campinas, v. 27, n. 94, p. 47-69, 2006.</w:t>
      </w:r>
    </w:p>
    <w:p>
      <w:pPr>
        <w:spacing w:line="240" w:lineRule="auto" w:after="60"/>
      </w:pPr>
      <w:r>
        <w:rPr>
          <w:sz w:val="20"/>
        </w:rPr>
        <w:t>MASSEY, D. Pelo espaço: uma nova política da espacialidade. Rio de Janeiro: Bertrand Brasil, 2008.</w:t>
      </w:r>
    </w:p>
    <w:p>
      <w:pPr>
        <w:spacing w:line="240" w:lineRule="auto" w:after="60"/>
      </w:pPr>
      <w:r>
        <w:rPr>
          <w:sz w:val="20"/>
        </w:rPr>
        <w:t>ONU. Comitê dos Direitos da Criança. Comentário Geral nº 25 (2021). CRC/C/GC/25. Genebra: ONU, 2021.</w:t>
      </w:r>
    </w:p>
    <w:p>
      <w:pPr>
        <w:spacing w:line="240" w:lineRule="auto" w:after="60"/>
      </w:pPr>
      <w:r>
        <w:rPr>
          <w:sz w:val="20"/>
        </w:rPr>
        <w:t>SANTOS, M. O território e o saber local: algumas categorias de análise. Cadernos IPPUR, Rio de Janeiro, ano 13, n. 2, p. 15-26, 1999.</w:t>
      </w:r>
    </w:p>
    <w:p>
      <w:pPr>
        <w:spacing w:line="240" w:lineRule="auto" w:after="60"/>
      </w:pPr>
      <w:r>
        <w:rPr>
          <w:sz w:val="20"/>
        </w:rPr>
        <w:t>YIN, R. K. Estudo de caso: planejamento e métodos. 2. ed. Porto Alegre: Bookman, 2001.</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