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b w:val="0"/>
          <w:i w:val="0"/>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Esta tese procura compreender o que acontece no espaço que se abre entre a educação digital garantida pela lei e as condições concretas de que a escola dispõe.</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b w:val="0"/>
          <w:i w:val="0"/>
        </w:rPr>
        <w:t>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Por essa razão,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b w:val="0"/>
          <w:i w:val="0"/>
        </w:rPr>
        <w:t xml:space="preserve">Delimitada essa escala, é preciso explicitar o percurso de uma lei até a escola. Entre o texto oficial e o cotidiano escolar, as orientações encontram pessoas, limites institucionais, recursos desiguais e dinâmicas do território, e todos esses elementos interferem no modo como a norma ganha forma. Tomamos, então,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b w:val="0"/>
          <w:i w:val="0"/>
        </w:rPr>
        <w:t>O objeto nos coloca diante de uma questão presente em toda a tese, a de saber o que acontece com uma política quando os direitos que ela institui não vêm acompanhados dos meios necessários para se realizarem. A seção 1.2 mostra como o próprio desenho da PNED produz essa situação, e a seção 1.5 apresenta a tese de partida com que a enfrentamos.</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b w:val="0"/>
          <w:i w:val="0"/>
        </w:rPr>
        <w:t>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A segunda noção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b w:val="0"/>
          <w:i w:val="0"/>
        </w:rPr>
        <w:t>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b w:val="0"/>
          <w:i w:val="0"/>
        </w:rPr>
        <w:t>A delimitação do campo em Pipa acrescenta à pesquisa condições próprias do território. O distrito, que foi vila de pescadores, integra um município de pequeno porte e passou a viver, a partir dos anos 1990, um turismo intenso, com relações econômicas, sociais e culturais que ultrapassam 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O distrito onde pousadas, restaurantes e passeios se vendem pela internet é o mesmo de onde as crianças saem, pela manhã, para salas de aula com carteiras enfileiradas, alfabeto móvel feito à mão e nenhuma tela.</w:t>
      </w:r>
    </w:p>
    <w:p>
      <w:pPr>
        <w:spacing w:line="360" w:lineRule="auto" w:after="0" w:before="0"/>
        <w:ind w:firstLine="709"/>
        <w:jc w:val="both"/>
      </w:pPr>
      <w:r>
        <w:rPr>
          <w:b w:val="0"/>
          <w:i w:val="0"/>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b w:val="0"/>
          <w:i w:val="0"/>
        </w:rPr>
        <w:t>Esse desenho tende a pesar mais em municípios de pequeno porte, como aquele em que a pesquisa se desenvolve. Seria possível tratar a situação como simples falha de gestão local, leitura que recusamos por retirar de cena o desenho da lei e invisibilizar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b w:val="0"/>
          <w:i w:val="0"/>
        </w:rPr>
        <w:t>O desenho da lei, a capacidade da rede, o tempo de trabalho, as desigualdades do território e a lacuna da literatura convergem, assim, para o trabalho de mediação realizado pelos profissionais em suas diferentes posições, feito de interpretações, traduções, escolhas e limites. É nesse trabalho que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possibilidade de interesse, que poderá aparecer ou não nos dados e que, se aparecer, será lida em relação às condições em que se constitui, às demandas a que responde e aos efeitos que produz no cotidiano escolar. A questão desdobra-se no objetivo geral e em quatro objetivos específicos.</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b w:val="0"/>
          <w:i w:val="0"/>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Os autores propõem quatro dimensões do contexto que orientarão a análise: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A performatividade (BALL, 2004)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Todas essas noções funcionam como lentes de leitura, que orientam o olhar sobre os dados sem antecipar o que será encontrado.</w:t>
      </w:r>
    </w:p>
    <w:p>
      <w:pPr>
        <w:spacing w:line="360" w:lineRule="auto" w:after="0" w:before="0"/>
        <w:ind w:firstLine="709"/>
        <w:jc w:val="both"/>
      </w:pPr>
      <w:r>
        <w:rPr>
          <w:b w:val="0"/>
          <w:i w:val="0"/>
        </w:rPr>
        <w:t xml:space="preserve">Para ler o território, articulamos Santos e Massey. Em </w:t>
      </w:r>
      <w:r>
        <w:rPr>
          <w:b w:val="0"/>
          <w:i/>
        </w:rPr>
        <w:t>A natureza do espaço</w:t>
      </w:r>
      <w:r>
        <w:rPr>
          <w:b w:val="0"/>
          <w:i w:val="0"/>
        </w:rPr>
        <w:t xml:space="preserve">, Santos (2006) compreende o espaço como conjunto indissociável de sistemas de objetos e de sistemas de ações e mostra que os lugares guardam formas herdadas de outros períodos, que ele chama de rugosidades. Em </w:t>
      </w:r>
      <w:r>
        <w:rPr>
          <w:b w:val="0"/>
          <w:i/>
        </w:rPr>
        <w:t>Espaço e método</w:t>
      </w:r>
      <w:r>
        <w:rPr>
          <w:b w:val="0"/>
          <w:i w:val="0"/>
        </w:rPr>
        <w:t>, o autor lembra que “as rugosidades – formas remanescentes dos períodos anteriores – devem ser levadas em conta quando uma sociedade procura impor novas funções” (SANTOS, 2012, p. 75). Massey (2008), por sua vez, permite ler Pipa como lugar de encontro de trajetórias diversas, que chegam à escola na forma das famílias e das crianças que ela atende.</w:t>
      </w:r>
    </w:p>
    <w:p>
      <w:pPr>
        <w:spacing w:line="360" w:lineRule="auto" w:after="0" w:before="0"/>
        <w:ind w:firstLine="709"/>
        <w:jc w:val="both"/>
      </w:pPr>
      <w:r>
        <w:rPr>
          <w:b w:val="0"/>
          <w:i w:val="0"/>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b w:val="0"/>
          <w:i w:val="0"/>
        </w:rPr>
        <w:t>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Esta pesquisa não observa aulas, e as práticas chegam à análise pelas narrativas dos participantes, enquanto as condições materiais chegam pelos documentos e pelo registro iconográfico. O registro iconográfico e a consulta ao acervo histórico já foram realizados e sustentam o Capítulo 6; os demais movimentos ocorrerão após a aprovação do Comitê de Ética em Pesquisa.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b w:val="0"/>
          <w:i w:val="0"/>
        </w:rPr>
        <w:t>A palavra “resistências” está no título da tese por uma escolha deliberada, que pede um cuidado correspondente. A resistência será tratada como uma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Essa abertura mantém a resistência como problema relevante para a tese sem transformá-la em conclusão antecipada.</w:t>
      </w:r>
    </w:p>
    <w:p>
      <w:pPr>
        <w:spacing w:line="360" w:lineRule="auto" w:after="0" w:before="0"/>
        <w:ind w:firstLine="709"/>
        <w:jc w:val="both"/>
      </w:pPr>
      <w:r>
        <w:rPr>
          <w:b w:val="0"/>
          <w:i w:val="0"/>
        </w:rPr>
        <w:t xml:space="preserve">A tese dialoga ainda com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b w:val="0"/>
          <w:i/>
        </w:rPr>
        <w:t>O habitar do ensinar e do aprender OnLIFE</w:t>
      </w:r>
      <w:r>
        <w:rPr>
          <w:b w:val="0"/>
          <w:i w:val="0"/>
        </w:rPr>
        <w:t xml:space="preserve">, organizado por Schlemmer </w:t>
      </w:r>
      <w:r>
        <w:rPr>
          <w:b w:val="0"/>
          <w:i/>
        </w:rPr>
        <w:t>et al.</w:t>
      </w:r>
      <w:r>
        <w:rPr>
          <w:b w:val="0"/>
          <w:i w:val="0"/>
        </w:rPr>
        <w:t xml:space="preserve"> (2021), o habitar é tomado como experiência relacional, constituída pelas relações entre sujeitos, ambientes, tecnologias e redes. Di Felice (2009), em </w:t>
      </w:r>
      <w:r>
        <w:rPr>
          <w:b w:val="0"/>
          <w:i/>
        </w:rPr>
        <w:t>Paisagens pós-urbanas</w:t>
      </w:r>
      <w:r>
        <w:rPr>
          <w:b w:val="0"/>
          <w:i w:val="0"/>
        </w:rPr>
        <w:t>, retoma a tradição filosófica do habitar e mostra como as tecnologias de comunicação transformam a relação entre sujeito, meios e território, descrevendo, com as redes digitais, um habitar atópico.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b w:val="0"/>
          <w:i w:val="0"/>
        </w:rPr>
        <w:t>O ineditismo da pesquisa tem três dimensões. A primeira é empírico-temporal, pois a investigação acompanha a chegada da PNED à escola no momento em que a exigência curricular se torna obrigatória e ocupa uma lacuna identificada pela RSL. A segunda é analítico-espacial, porque o território de Pipa entra na análise como dimensão constitutiva do contexto da prática, com o peso que Santos e Massey lhe atribuem. A terceira é teórico-conceitual. Ao articular a teoria da atuação, as culturas profissionais, a dimensão material da escola e a leitura do território, e ao propor a noção de habitar o digital, a tese trata a distância entre a norma e a sala de aula como parte de uma relação política entre texto, contexto e sujeitos, sem classificá-la de imediato como falha, incapacidade ou resistência. A pergunta que interessa, assim, diz respeito ao que acontece com a PNED quando encontra uma escola, seus profissionais, suas condições materiais e um território específico, e é nesse encontro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b w:val="0"/>
          <w:i w:val="0"/>
        </w:rPr>
        <w:t>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São Paulo: Edusp,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