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w:t>
      </w:r>
    </w:p>
    <w:p w14:paraId="2B285D83" w14:textId="77777777" w:rsidR="00273572" w:rsidRPr="002A5A49" w:rsidRDefault="00000000" w:rsidP="002A5A49">
      <w:pPr>
        <w:spacing w:after="0" w:line="360" w:lineRule="auto"/>
        <w:ind w:firstLine="709"/>
        <w:jc w:val="both"/>
        <w:rPr>
          <w:lang w:val="pt-BR"/>
        </w:rPr>
      </w:pPr>
      <w:r w:rsidRPr="002A5A49">
        <w:rPr>
          <w:lang w:val="pt-BR"/>
        </w:rPr>
        <w:t>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e, ao mesmo tempo, é dela que nasce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r w:rsidRPr="002A5A49">
        <w:rPr>
          <w:lang w:val="pt-BR"/>
        </w:rPr>
        <w:t xml:space="preserve">Para ler esse encontro, recorremos à teoria da atuação de Ball, Maguire e Braun (2016), que traduzimos também por encenação, termo com que os estudos brasileiros têm vertido a palavra </w:t>
      </w:r>
      <w:proofErr w:type="spellStart"/>
      <w:r w:rsidRPr="002A5A49">
        <w:rPr>
          <w:i/>
          <w:lang w:val="pt-BR"/>
        </w:rPr>
        <w:t>enactment</w:t>
      </w:r>
      <w:proofErr w:type="spellEnd"/>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A ideia de encenação acentua esse caráter produtivo, já que, na escola, a política toma corpo nas falas, nos registros, nos arranjos </w:t>
      </w:r>
      <w:r w:rsidRPr="002A5A49">
        <w:rPr>
          <w:lang w:val="pt-BR"/>
        </w:rPr>
        <w:lastRenderedPageBreak/>
        <w:t>de tempo e espaço e nas práticas de quem a recebe e precisa dar conta dela. É com esse entendimento que formulamos a questão que orienta a investigação.</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14:paraId="165B9B20" w14:textId="77777777" w:rsidR="00273572" w:rsidRPr="002A5A49" w:rsidRDefault="00000000" w:rsidP="002A5A49">
      <w:pPr>
        <w:spacing w:after="0" w:line="360" w:lineRule="auto"/>
        <w:ind w:firstLine="709"/>
        <w:jc w:val="both"/>
        <w:rPr>
          <w:lang w:val="pt-BR"/>
        </w:rPr>
      </w:pPr>
      <w:r w:rsidRPr="002A5A49">
        <w:rPr>
          <w:lang w:val="pt-BR"/>
        </w:rPr>
        <w:t>Dessa questão decorrem o objetivo geral e os objetivos específicos que organizam o percurso da pesquisa.</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portanto, no momento em que esse conjunto de normas deixa o papel e começa a chegar às redes e às escolas. Em Tibau do Sul, como em muitos municípios de pequeno porte,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primeira dimensão diz respeito ao objeto e ao tempo em que ele é estudado. A pesquisa acompanha a chegada da PNED ao cotidiano escolar no período em que a educação digital e midiática começa a ser incorporada aos currículos de modo mais sistemático. Na </w:t>
      </w:r>
      <w:r w:rsidR="002A5A49" w:rsidRPr="002A5A49">
        <w:rPr>
          <w:lang w:val="pt-BR"/>
        </w:rPr>
        <w:t>R</w:t>
      </w:r>
      <w:r w:rsidRPr="002A5A49">
        <w:rPr>
          <w:lang w:val="pt-BR"/>
        </w:rPr>
        <w:t xml:space="preserve">evisão </w:t>
      </w:r>
      <w:r w:rsidR="002A5A49" w:rsidRPr="002A5A49">
        <w:rPr>
          <w:lang w:val="pt-BR"/>
        </w:rPr>
        <w:t>S</w:t>
      </w:r>
      <w:r w:rsidRPr="002A5A49">
        <w:rPr>
          <w:lang w:val="pt-BR"/>
        </w:rPr>
        <w:t>istemática</w:t>
      </w:r>
      <w:r w:rsidR="002A5A49" w:rsidRPr="002A5A49">
        <w:rPr>
          <w:lang w:val="pt-BR"/>
        </w:rPr>
        <w:t xml:space="preserve"> de Literatura (RSL)</w:t>
      </w:r>
      <w:r w:rsidRPr="002A5A49">
        <w:rPr>
          <w:lang w:val="pt-BR"/>
        </w:rPr>
        <w:t xml:space="preserve">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A segunda dimensão está no lugar que o território ocupa na análise. Pipa entra nesta pesquisa como parte do contexto em que a política é encenada. O distrito, que foi vila de pescadores e se transformou, a partir dos anos 1990, em destino turístico internacional, é hoje marcado pelo turismo, pela circulação de grupos sociais muito diferentes e por experiências desiguais de acesso, de uso e de participação na cultura digital.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compreende o espaço como a esfera da coexistência e da multiplicidade, feita de relações e de trajetórias que se encontram sem formar uma unidade homogênea, e pensa o lugar como encontro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A terceira dimensão está na articulação entre a teoria da atuação, a discussão sobre culturas profissionais, a atenção à dimensão material da escola e a leitura do território para compreender uma política de educação digital. Os estudos reunidos na </w:t>
      </w:r>
      <w:r w:rsidR="002A5A49" w:rsidRPr="002A5A49">
        <w:rPr>
          <w:lang w:val="pt-BR"/>
        </w:rPr>
        <w:t>RSL</w:t>
      </w:r>
      <w:r w:rsidR="002A5A49" w:rsidRPr="002A5A49">
        <w:rPr>
          <w:lang w:val="pt-BR"/>
        </w:rPr>
        <w:t xml:space="preserve"> </w:t>
      </w:r>
      <w:r w:rsidRPr="002A5A49">
        <w:rPr>
          <w:lang w:val="pt-BR"/>
        </w:rPr>
        <w:t>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w:t>
      </w:r>
      <w:r w:rsidRPr="002A5A49">
        <w:rPr>
          <w:lang w:val="pt-BR"/>
        </w:rPr>
        <w:lastRenderedPageBreak/>
        <w:t>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w:t>
      </w:r>
      <w:r w:rsidR="002A5A49" w:rsidRPr="002A5A49">
        <w:rPr>
          <w:lang w:val="pt-BR"/>
        </w:rPr>
        <w:t xml:space="preserve"> (ACP)</w:t>
      </w:r>
      <w:r w:rsidRPr="002A5A49">
        <w:rPr>
          <w:lang w:val="pt-BR"/>
        </w:rPr>
        <w:t xml:space="preserve">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Essa compreensão permite tratar o território de Pipa e as condições materiais da escola como parte do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r w:rsidRPr="002A5A49">
        <w:rPr>
          <w:lang w:val="pt-BR"/>
        </w:rPr>
        <w:t xml:space="preserve">Para inscrever Pipa na análise, recorremos a Milton Santos e a </w:t>
      </w:r>
      <w:proofErr w:type="spellStart"/>
      <w:r w:rsidRPr="002A5A49">
        <w:rPr>
          <w:lang w:val="pt-BR"/>
        </w:rPr>
        <w:t>Doreen</w:t>
      </w:r>
      <w:proofErr w:type="spellEnd"/>
      <w:r w:rsidRPr="002A5A49">
        <w:rPr>
          <w:lang w:val="pt-BR"/>
        </w:rPr>
        <w:t xml:space="preserve"> Massey. Em </w:t>
      </w:r>
      <w:r w:rsidRPr="002A5A49">
        <w:rPr>
          <w:i/>
          <w:lang w:val="pt-BR"/>
        </w:rPr>
        <w:t>A natureza do espaço</w:t>
      </w:r>
      <w:r w:rsidRPr="002A5A49">
        <w:rPr>
          <w:lang w:val="pt-BR"/>
        </w:rPr>
        <w:t xml:space="preserve">, Santos (2006)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i/>
          <w:lang w:val="pt-BR"/>
        </w:rPr>
        <w:t>Pensando o espaço do homem</w:t>
      </w:r>
      <w:r w:rsidRPr="002A5A49">
        <w:rPr>
          <w:lang w:val="pt-BR"/>
        </w:rPr>
        <w:t>, Santos (2004) reforça essa leitura ao tratar o espaço como acumulação desigual de tempos.</w:t>
      </w:r>
    </w:p>
    <w:p w14:paraId="118FDE01" w14:textId="77777777" w:rsidR="00273572" w:rsidRPr="002A5A49" w:rsidRDefault="00000000" w:rsidP="002A5A49">
      <w:pPr>
        <w:spacing w:after="0" w:line="360" w:lineRule="auto"/>
        <w:ind w:firstLine="709"/>
        <w:jc w:val="both"/>
        <w:rPr>
          <w:lang w:val="pt-BR"/>
        </w:rPr>
      </w:pPr>
      <w:r w:rsidRPr="002A5A49">
        <w:rPr>
          <w:lang w:val="pt-BR"/>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w:t>
      </w:r>
      <w:proofErr w:type="spellStart"/>
      <w:r w:rsidRPr="002A5A49">
        <w:rPr>
          <w:lang w:val="pt-BR"/>
        </w:rPr>
        <w:t>quais</w:t>
      </w:r>
      <w:proofErr w:type="spellEnd"/>
      <w:r w:rsidRPr="002A5A49">
        <w:rPr>
          <w:lang w:val="pt-BR"/>
        </w:rPr>
        <w:t xml:space="preserve">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O distrito que foi vila de pescadores passou a receber, a partir dos anos 1990, o turismo ligado ao surfe, investimentos imobiliários nacionais e estrangeiros, trabalhadores atraídos pelo setor de serviços e, mais recentemente, pessoas que trabalham remotamente para empresas sediadas em outros lugares.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1D17E40C" w14:textId="77777777" w:rsidR="00273572" w:rsidRPr="002A5A49" w:rsidRDefault="00000000" w:rsidP="002A5A49">
      <w:pPr>
        <w:spacing w:after="0" w:line="360" w:lineRule="auto"/>
        <w:ind w:firstLine="709"/>
        <w:jc w:val="both"/>
        <w:rPr>
          <w:lang w:val="pt-BR"/>
        </w:rPr>
      </w:pPr>
      <w:r w:rsidRPr="002A5A49">
        <w:rPr>
          <w:lang w:val="pt-BR"/>
        </w:rPr>
        <w:t>A expressão “habitar o digital” é uma formulação própria desta tese. Ela resulta de um percurso teórico que reúne contribuições anteriores e as articula ao caso estudado, e por isso convém apresentar esse percurso e situar o que cada autor oferece.</w:t>
      </w:r>
    </w:p>
    <w:p w14:paraId="38946E6F" w14:textId="77777777" w:rsidR="00273572" w:rsidRPr="002A5A49" w:rsidRDefault="00000000" w:rsidP="002A5A49">
      <w:pPr>
        <w:spacing w:after="0" w:line="360" w:lineRule="auto"/>
        <w:ind w:firstLine="709"/>
        <w:jc w:val="both"/>
        <w:rPr>
          <w:lang w:val="pt-BR"/>
        </w:rPr>
      </w:pPr>
      <w:r w:rsidRPr="002A5A49">
        <w:rPr>
          <w:lang w:val="pt-BR"/>
        </w:rPr>
        <w:t xml:space="preserve">O ponto de partida está na própria noção de habitar. Em </w:t>
      </w:r>
      <w:r w:rsidRPr="002A5A49">
        <w:rPr>
          <w:i/>
          <w:lang w:val="pt-BR"/>
        </w:rPr>
        <w:t xml:space="preserve">O habitar do ensinar e do aprender </w:t>
      </w:r>
      <w:proofErr w:type="spellStart"/>
      <w:r w:rsidRPr="002A5A49">
        <w:rPr>
          <w:i/>
          <w:lang w:val="pt-BR"/>
        </w:rPr>
        <w:t>OnLIFE</w:t>
      </w:r>
      <w:proofErr w:type="spellEnd"/>
      <w:r w:rsidRPr="002A5A49">
        <w:rPr>
          <w:lang w:val="pt-BR"/>
        </w:rPr>
        <w:t xml:space="preserve">, obra organizada por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o habitar é tomado em sentido mais amplo que o de morar ou permanecer num lugar e aproxima-se da ideia de estar presente. Ele aparece como experiência relacional, constituída pelas relações entre sujeitos, ambientes, tecnologias e redes. Essa discussão dialoga com a obra de Massimo Di Felice. Em </w:t>
      </w:r>
      <w:r w:rsidRPr="002A5A49">
        <w:rPr>
          <w:i/>
          <w:lang w:val="pt-BR"/>
        </w:rPr>
        <w:t>Paisagens pós-urbanas</w:t>
      </w:r>
      <w:r w:rsidRPr="002A5A49">
        <w:rPr>
          <w:lang w:val="pt-BR"/>
        </w:rPr>
        <w:t xml:space="preserve">, Di Felice (2009) retoma a tradição filosófica do habitar, que remonta a Heidegger, e pensa o habitar como prática comunicativa, mostrando como as diferentes tecnologias transformam a relação entre o sujeito, os meios de comunicação e o território. Com as redes digitais, o autor descreve um habitar atópico, em que a experiência </w:t>
      </w:r>
      <w:proofErr w:type="spellStart"/>
      <w:r w:rsidRPr="002A5A49">
        <w:rPr>
          <w:lang w:val="pt-BR"/>
        </w:rPr>
        <w:t>habitativa</w:t>
      </w:r>
      <w:proofErr w:type="spellEnd"/>
      <w:r w:rsidRPr="002A5A49">
        <w:rPr>
          <w:lang w:val="pt-BR"/>
        </w:rPr>
        <w:t xml:space="preserve"> passa a envolver interfaces, fluxos informativos e relações que não se reduzem ao espaço físico.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levam essa discussão para o campo educacional ao pensar o ensinar e o aprender numa realidade marcada pela </w:t>
      </w:r>
      <w:proofErr w:type="spellStart"/>
      <w:r w:rsidRPr="002A5A49">
        <w:rPr>
          <w:lang w:val="pt-BR"/>
        </w:rPr>
        <w:t>digitalidade</w:t>
      </w:r>
      <w:proofErr w:type="spellEnd"/>
      <w:r w:rsidRPr="002A5A49">
        <w:rPr>
          <w:lang w:val="pt-BR"/>
        </w:rPr>
        <w:t xml:space="preserve"> e pela conectividade.</w:t>
      </w:r>
    </w:p>
    <w:p w14:paraId="315D7C81" w14:textId="77777777" w:rsidR="00273572" w:rsidRPr="002A5A49" w:rsidRDefault="00000000" w:rsidP="002A5A49">
      <w:pPr>
        <w:spacing w:after="0" w:line="360" w:lineRule="auto"/>
        <w:ind w:firstLine="709"/>
        <w:jc w:val="both"/>
        <w:rPr>
          <w:lang w:val="pt-BR"/>
        </w:rPr>
      </w:pPr>
      <w:r w:rsidRPr="002A5A49">
        <w:rPr>
          <w:lang w:val="pt-BR"/>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Duas passagens ajudam a precisar a formulação. Santos (2006, p. 163) observa que, com a difusão do meio técnico-científico-informacional, “distinguem-se zonas servidas pelos meios de conhecimento e áreas desprovidas dessa vantagem”, e em Pipa essa distinção atravessa o próprio distrito. Em texto anterior, o autor nomeia a questão que interessa a esta pesquisa,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A escola e o polo turístico são contemporâneos, e o que os separa são relações que a análise precisa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w:t>
      </w:r>
      <w:r w:rsidRPr="002A5A49">
        <w:rPr>
          <w:lang w:val="pt-BR"/>
        </w:rPr>
        <w:lastRenderedPageBreak/>
        <w:t>longo da investigação. A segunda pergunta leva diretamente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Cada movimento acrescenta uma fonte ao estudo, e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w:t>
      </w:r>
      <w:r w:rsidR="002A5A49" w:rsidRPr="002A5A49">
        <w:rPr>
          <w:lang w:val="pt-BR"/>
        </w:rPr>
        <w:t xml:space="preserve"> (PPP)</w:t>
      </w:r>
      <w:r w:rsidRPr="002A5A49">
        <w:rPr>
          <w:lang w:val="pt-BR"/>
        </w:rPr>
        <w:t>,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r w:rsidRPr="002A5A49">
        <w:rPr>
          <w:lang w:val="pt-BR"/>
        </w:rPr>
        <w:t xml:space="preserve">O terceiro movimento é um questionário presencial, respondido em formulário digital, com função descritiva e </w:t>
      </w:r>
      <w:proofErr w:type="spellStart"/>
      <w:r w:rsidRPr="002A5A49">
        <w:rPr>
          <w:lang w:val="pt-BR"/>
        </w:rPr>
        <w:t>contextualizadora</w:t>
      </w:r>
      <w:proofErr w:type="spellEnd"/>
      <w:r w:rsidRPr="002A5A49">
        <w:rPr>
          <w:lang w:val="pt-BR"/>
        </w:rPr>
        <w:t>.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w:t>
      </w:r>
      <w:r w:rsidR="002A5A49" w:rsidRPr="002A5A49">
        <w:rPr>
          <w:lang w:val="pt-BR"/>
        </w:rPr>
        <w:t>“</w:t>
      </w:r>
      <w:r w:rsidRPr="002A5A49">
        <w:rPr>
          <w:lang w:val="pt-BR"/>
        </w:rPr>
        <w:t>habitar o digital</w:t>
      </w:r>
      <w:r w:rsidR="002A5A49" w:rsidRPr="002A5A49">
        <w:rPr>
          <w:lang w:val="pt-BR"/>
        </w:rPr>
        <w:t>”</w:t>
      </w:r>
      <w:r w:rsidRPr="002A5A49">
        <w:rPr>
          <w:lang w:val="pt-BR"/>
        </w:rPr>
        <w:t>,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r w:rsidRPr="002A5A49">
        <w:rPr>
          <w:lang w:val="pt-BR"/>
        </w:rPr>
        <w:t xml:space="preserve">A contribuição conceitual própria da tese está na formulação “habitar o digital”, construída no diálogo entre a tradição do habitar, as discussões contemporâneas sobre </w:t>
      </w:r>
      <w:proofErr w:type="spellStart"/>
      <w:r w:rsidRPr="002A5A49">
        <w:rPr>
          <w:lang w:val="pt-BR"/>
        </w:rPr>
        <w:t>digitalidade</w:t>
      </w:r>
      <w:proofErr w:type="spellEnd"/>
      <w:r w:rsidRPr="002A5A49">
        <w:rPr>
          <w:lang w:val="pt-BR"/>
        </w:rPr>
        <w:t xml:space="preserv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727C3944"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600125D9"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Pensando o espaço do homem</w:t>
      </w:r>
      <w:r w:rsidRPr="002A5A49">
        <w:rPr>
          <w:lang w:val="pt-BR"/>
        </w:rPr>
        <w:t>. 5. ed. São Paulo: Editora da Universidade de São Paulo, 2004.</w:t>
      </w:r>
    </w:p>
    <w:p w14:paraId="64D46F09"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