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709"/>
        <w:jc w:val="both"/>
      </w:pPr>
      <w:r>
        <w:rPr>
          <w:rFonts w:ascii="Times New Roman" w:hAnsi="Times New Roman"/>
          <w:sz w:val="24"/>
        </w:rPr>
        <w:t>1. INTRODUÇÃO</w:t>
      </w:r>
    </w:p>
    <w:p>
      <w:pPr>
        <w:spacing w:line="360" w:lineRule="auto"/>
        <w:ind w:firstLine="709"/>
        <w:jc w:val="both"/>
      </w:pPr>
      <w:r>
        <w:rPr>
          <w:rFonts w:ascii="Times New Roman" w:hAnsi="Times New Roman"/>
          <w:b/>
          <w:sz w:val="24"/>
          <w:highlight w:val="yellow"/>
        </w:rPr>
        <w:t xml:space="preserve">[NOTA DA REVISÃO] </w:t>
      </w:r>
      <w:r>
        <w:rPr>
          <w:rFonts w:ascii="Times New Roman" w:hAnsi="Times New Roman"/>
          <w:i/>
          <w:sz w:val="24"/>
          <w:highlight w:val="yellow"/>
        </w:rPr>
        <w:t>Legenda desta revisão: trechos em amarelo são texto novo ou reescrito; trechos em amarelo e tachados devem ser excluídos; parágrafos iniciados por [EXCLUIR] saem por inteiro; as notas como esta orientam ajustes que dependem de decisão ou conferência da autora. Arquivo gerado a partir do PDF: a formatação é aproximada e serve apenas para localizar as correções no documento original.</w:t>
      </w:r>
    </w:p>
    <w:p>
      <w:pPr>
        <w:spacing w:line="360" w:lineRule="auto"/>
        <w:ind w:firstLine="709"/>
        <w:jc w:val="both"/>
      </w:pPr>
      <w:r>
        <w:rPr>
          <w:rFonts w:ascii="Times New Roman" w:hAnsi="Times New Roman"/>
          <w:sz w:val="24"/>
        </w:rPr>
        <w:t>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no entanto, não se dá da mesma forma em todas as escolas, uma vez que o uso das tecnologias depende da infraestrutura, da conexão</w:t>
      </w:r>
      <w:r>
        <w:rPr>
          <w:rFonts w:ascii="Times New Roman" w:hAnsi="Times New Roman"/>
          <w:strike/>
          <w:sz w:val="24"/>
          <w:highlight w:val="yellow"/>
        </w:rPr>
        <w:t xml:space="preserve"> e da formação, bem como considerar o território onde</w:t>
      </w:r>
      <w:r>
        <w:rPr>
          <w:rFonts w:ascii="Times New Roman" w:hAnsi="Times New Roman"/>
          <w:sz w:val="24"/>
          <w:highlight w:val="yellow"/>
        </w:rPr>
        <w:t>, da formação e do território em que</w:t>
      </w:r>
      <w:r>
        <w:rPr>
          <w:rFonts w:ascii="Times New Roman" w:hAnsi="Times New Roman"/>
          <w:sz w:val="24"/>
        </w:rPr>
        <w:t xml:space="preserve"> cada escola está situada</w:t>
      </w:r>
      <w:r>
        <w:rPr>
          <w:rFonts w:ascii="Times New Roman" w:hAnsi="Times New Roman"/>
          <w:strike/>
          <w:sz w:val="24"/>
          <w:highlight w:val="yellow"/>
        </w:rPr>
        <w:t xml:space="preserve"> para contextualização</w:t>
      </w:r>
      <w:r>
        <w:rPr>
          <w:rFonts w:ascii="Times New Roman" w:hAnsi="Times New Roman"/>
          <w:sz w:val="24"/>
        </w:rPr>
        <w:t>. Ainda no fim da década de 1990, Valente (1999, p. 83) advertia que “implantar computadores nas escolas sem o devido preparo de professores e da comunidade escolar não trará os benefícios que esperamos”. A advertência continua atual, pois lembra que a chegada do equipamento não garante seu uso pedagógico. Na escola investigada, porém, a situação antecede essa discussão, uma vez que as salas de 1º e 2º anos registradas na pesquisa não dispõem de nenhum dispositivo digital. É a distância entre a educação digital garantida pela lei e as condições concretas disponíveis na sala de aula que esta tese busca compreender.</w:t>
      </w:r>
    </w:p>
    <w:p>
      <w:pPr>
        <w:spacing w:line="360" w:lineRule="auto"/>
        <w:ind w:firstLine="709"/>
        <w:jc w:val="both"/>
      </w:pPr>
      <w:r>
        <w:rPr>
          <w:rFonts w:ascii="Times New Roman" w:hAnsi="Times New Roman"/>
          <w:sz w:val="24"/>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ind w:firstLine="709"/>
        <w:jc w:val="both"/>
      </w:pPr>
      <w:r>
        <w:rPr>
          <w:rFonts w:ascii="Times New Roman" w:hAnsi="Times New Roman"/>
          <w:sz w:val="24"/>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2023a,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O eixo engloba cinco dimensões: pensamento computacional, mundo digital, cultura digital, direitos digitais e tecnologia assistiva.</w:t>
      </w:r>
    </w:p>
    <w:p>
      <w:pPr>
        <w:spacing w:line="360" w:lineRule="auto"/>
        <w:ind w:firstLine="709"/>
        <w:jc w:val="both"/>
      </w:pPr>
      <w:r>
        <w:rPr>
          <w:rFonts w:ascii="Times New Roman" w:hAnsi="Times New Roman"/>
          <w:sz w:val="24"/>
        </w:rPr>
        <w:t>Ao reunir essas dimensões em 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essa razão, adotamos nesta tese a noção de educação digital em suas dimensões culturais, críticas, sociais e cidadãs, sem reduzir a tecnologia à operação de máquinas. Rojo (2013) oferece um caminho para essa compreensão ao explicar o conceito de multiletramentos:</w:t>
      </w:r>
    </w:p>
    <w:p>
      <w:pPr>
        <w:spacing w:line="240" w:lineRule="auto" w:after="240"/>
        <w:ind w:left="2268"/>
        <w:jc w:val="both"/>
      </w:pPr>
      <w:r>
        <w:rPr>
          <w:rFonts w:ascii="Times New Roman" w:hAnsi="Times New Roman"/>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ind w:firstLine="709"/>
        <w:jc w:val="both"/>
      </w:pPr>
      <w:r>
        <w:rPr>
          <w:rFonts w:ascii="Times New Roman" w:hAnsi="Times New Roman"/>
          <w:sz w:val="24"/>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ind w:firstLine="709"/>
        <w:jc w:val="both"/>
      </w:pPr>
      <w:r>
        <w:rPr>
          <w:rFonts w:ascii="Times New Roman" w:hAnsi="Times New Roman"/>
          <w:sz w:val="24"/>
        </w:rPr>
        <w:t xml:space="preserve">Esse reconhecimento varia de pessoa para pessoa, uma vez que cultura digital e direitos digitais não são expressões autoevidentes. Quando uma professora afirma trabalhar cultura digital com a turma, ou quando uma gestora garante cuidar dos direitos digitais das crianças, cada uma fala a partir de um entendimento próprio, a ser interpretado. Stuart Hall (2006) </w:t>
      </w:r>
      <w:r>
        <w:rPr>
          <w:rFonts w:ascii="Times New Roman" w:hAnsi="Times New Roman"/>
          <w:strike/>
          <w:sz w:val="24"/>
          <w:highlight w:val="yellow"/>
        </w:rPr>
        <w:t>ajuda na fórmula que buscamos nessas falas. Quando se discute as culturas nacionais, afirmando que: “Uma</w:t>
      </w:r>
      <w:r>
        <w:rPr>
          <w:rFonts w:ascii="Times New Roman" w:hAnsi="Times New Roman"/>
          <w:sz w:val="24"/>
          <w:highlight w:val="yellow"/>
        </w:rPr>
        <w:t>oferece uma chave para ler essas falas. Ao discutir as culturas nacionais, o autor afirma que “uma</w:t>
      </w:r>
      <w:r>
        <w:rPr>
          <w:rFonts w:ascii="Times New Roman" w:hAnsi="Times New Roman"/>
          <w:sz w:val="24"/>
        </w:rPr>
        <w:t xml:space="preserve"> cultura nacional é um discurso – um modo de construir sentidos que influencia e organiza tanto nossas ações quanto a concepção que temos de nós mesmos” (HALL, 2006, p. 50)</w:t>
      </w:r>
      <w:r>
        <w:rPr>
          <w:rFonts w:ascii="Times New Roman" w:hAnsi="Times New Roman"/>
          <w:strike/>
          <w:sz w:val="24"/>
          <w:highlight w:val="yellow"/>
        </w:rPr>
        <w:t>; o autor</w:t>
      </w:r>
      <w:r>
        <w:rPr>
          <w:rFonts w:ascii="Times New Roman" w:hAnsi="Times New Roman"/>
          <w:sz w:val="24"/>
          <w:highlight w:val="yellow"/>
        </w:rPr>
        <w:t>. Hall</w:t>
      </w:r>
      <w:r>
        <w:rPr>
          <w:rFonts w:ascii="Times New Roman" w:hAnsi="Times New Roman"/>
          <w:sz w:val="24"/>
        </w:rPr>
        <w:t xml:space="preserve"> não trata de políticas educacionais, e a aproximação é nossa</w:t>
      </w:r>
      <w:r>
        <w:rPr>
          <w:rFonts w:ascii="Times New Roman" w:hAnsi="Times New Roman"/>
          <w:strike/>
          <w:sz w:val="24"/>
          <w:highlight w:val="yellow"/>
        </w:rPr>
        <w:t>. Da</w:t>
      </w:r>
      <w:r>
        <w:rPr>
          <w:rFonts w:ascii="Times New Roman" w:hAnsi="Times New Roman"/>
          <w:sz w:val="24"/>
          <w:highlight w:val="yellow"/>
        </w:rPr>
        <w:t>; da</w:t>
      </w:r>
      <w:r>
        <w:rPr>
          <w:rFonts w:ascii="Times New Roman" w:hAnsi="Times New Roman"/>
          <w:sz w:val="24"/>
        </w:rPr>
        <w:t xml:space="preserve"> passagem retiramos a ideia de que os sentidos organizam a ação. Entendemos por sentido, assim, a significação produzida por cada profissional sobre a política, inseparável de sua trajetória, de suas condições de trabalho e do lugar institucional de onde fala. Por essa razão, as narrativas dos profissionais ocupam o centro da produção de dados.</w:t>
      </w:r>
    </w:p>
    <w:p>
      <w:pPr>
        <w:spacing w:line="360" w:lineRule="auto"/>
        <w:ind w:firstLine="709"/>
        <w:jc w:val="both"/>
      </w:pPr>
      <w:r>
        <w:rPr>
          <w:rFonts w:ascii="Times New Roman" w:hAnsi="Times New Roman"/>
          <w:sz w:val="24"/>
        </w:rPr>
        <w:t xml:space="preserve">A compreensão </w:t>
      </w:r>
      <w:r>
        <w:rPr>
          <w:rFonts w:ascii="Times New Roman" w:hAnsi="Times New Roman"/>
          <w:strike/>
          <w:sz w:val="24"/>
          <w:highlight w:val="yellow"/>
        </w:rPr>
        <w:t>desses</w:t>
      </w:r>
      <w:r>
        <w:rPr>
          <w:rFonts w:ascii="Times New Roman" w:hAnsi="Times New Roman"/>
          <w:sz w:val="24"/>
          <w:highlight w:val="yellow"/>
        </w:rPr>
        <w:t>dos</w:t>
      </w:r>
      <w:r>
        <w:rPr>
          <w:rFonts w:ascii="Times New Roman" w:hAnsi="Times New Roman"/>
          <w:sz w:val="24"/>
        </w:rPr>
        <w:t xml:space="preserve"> sentidos elaborados no cotidiano escolar exige </w:t>
      </w:r>
      <w:r>
        <w:rPr>
          <w:rFonts w:ascii="Times New Roman" w:hAnsi="Times New Roman"/>
          <w:strike/>
          <w:sz w:val="24"/>
          <w:highlight w:val="yellow"/>
        </w:rPr>
        <w:t>reconhecimento das narrativas que</w:t>
      </w:r>
      <w:r>
        <w:rPr>
          <w:rFonts w:ascii="Times New Roman" w:hAnsi="Times New Roman"/>
          <w:sz w:val="24"/>
          <w:highlight w:val="yellow"/>
        </w:rPr>
        <w:t>reconhecer que as narrativas</w:t>
      </w:r>
      <w:r>
        <w:rPr>
          <w:rFonts w:ascii="Times New Roman" w:hAnsi="Times New Roman"/>
          <w:sz w:val="24"/>
        </w:rPr>
        <w:t xml:space="preserve"> não nascem isoladas do resto do mundo. Elas </w:t>
      </w:r>
      <w:r>
        <w:rPr>
          <w:rFonts w:ascii="Times New Roman" w:hAnsi="Times New Roman"/>
          <w:strike/>
          <w:sz w:val="24"/>
          <w:highlight w:val="yellow"/>
        </w:rPr>
        <w:t>são respostas às</w:t>
      </w:r>
      <w:r>
        <w:rPr>
          <w:rFonts w:ascii="Times New Roman" w:hAnsi="Times New Roman"/>
          <w:sz w:val="24"/>
          <w:highlight w:val="yellow"/>
        </w:rPr>
        <w:t>respondem a</w:t>
      </w:r>
      <w:r>
        <w:rPr>
          <w:rFonts w:ascii="Times New Roman" w:hAnsi="Times New Roman"/>
          <w:sz w:val="24"/>
        </w:rPr>
        <w:t xml:space="preserve"> pressões externas e estruturais, o que nos obriga a delimitar o lugar de dois referenciais críticos nesta tese: Zuboff (2021)</w:t>
      </w:r>
      <w:r>
        <w:rPr>
          <w:rFonts w:ascii="Times New Roman" w:hAnsi="Times New Roman"/>
          <w:strike/>
          <w:sz w:val="24"/>
          <w:highlight w:val="yellow"/>
        </w:rPr>
        <w:t xml:space="preserve"> e Morozov (2018). A primeira com a</w:t>
      </w:r>
      <w:r>
        <w:rPr>
          <w:rFonts w:ascii="Times New Roman" w:hAnsi="Times New Roman"/>
          <w:sz w:val="24"/>
          <w:highlight w:val="yellow"/>
        </w:rPr>
        <w:t>, com</w:t>
      </w:r>
      <w:r>
        <w:rPr>
          <w:rFonts w:ascii="Times New Roman" w:hAnsi="Times New Roman"/>
          <w:sz w:val="24"/>
        </w:rPr>
        <w:t xml:space="preserve"> sua denúncia do capitalismo de vigilância</w:t>
      </w:r>
      <w:r>
        <w:rPr>
          <w:rFonts w:ascii="Times New Roman" w:hAnsi="Times New Roman"/>
          <w:strike/>
          <w:sz w:val="24"/>
          <w:highlight w:val="yellow"/>
        </w:rPr>
        <w:t xml:space="preserve"> e o segundo com o</w:t>
      </w:r>
      <w:r>
        <w:rPr>
          <w:rFonts w:ascii="Times New Roman" w:hAnsi="Times New Roman"/>
          <w:sz w:val="24"/>
          <w:highlight w:val="yellow"/>
        </w:rPr>
        <w:t>, e Morozov (2018), com</w:t>
      </w:r>
      <w:r>
        <w:rPr>
          <w:rFonts w:ascii="Times New Roman" w:hAnsi="Times New Roman"/>
          <w:sz w:val="24"/>
        </w:rPr>
        <w:t xml:space="preserve"> seu alerta contra as saídas puramente técnicas para dilemas políticos</w:t>
      </w:r>
      <w:r>
        <w:rPr>
          <w:rFonts w:ascii="Times New Roman" w:hAnsi="Times New Roman"/>
          <w:strike/>
          <w:sz w:val="24"/>
          <w:highlight w:val="yellow"/>
        </w:rPr>
        <w:t xml:space="preserve"> que desenham o contexto institucional que deu origem à</w:t>
      </w:r>
      <w:r>
        <w:rPr>
          <w:rFonts w:ascii="Times New Roman" w:hAnsi="Times New Roman"/>
          <w:sz w:val="24"/>
          <w:highlight w:val="yellow"/>
        </w:rPr>
        <w:t>. Os dois ajudam a desenhar o contexto em que surgiu a</w:t>
      </w:r>
      <w:r>
        <w:rPr>
          <w:rFonts w:ascii="Times New Roman" w:hAnsi="Times New Roman"/>
          <w:sz w:val="24"/>
        </w:rPr>
        <w:t xml:space="preserve"> Política Nacional de Educação Digital (PNED)</w:t>
      </w:r>
      <w:r>
        <w:rPr>
          <w:rFonts w:ascii="Times New Roman" w:hAnsi="Times New Roman"/>
          <w:strike/>
          <w:sz w:val="24"/>
          <w:highlight w:val="yellow"/>
        </w:rPr>
        <w:t>. Evidenciando o cenário</w:t>
      </w:r>
      <w:r>
        <w:rPr>
          <w:rFonts w:ascii="Times New Roman" w:hAnsi="Times New Roman"/>
          <w:sz w:val="24"/>
          <w:highlight w:val="yellow"/>
        </w:rPr>
        <w:t>,</w:t>
      </w:r>
      <w:r>
        <w:rPr>
          <w:rFonts w:ascii="Times New Roman" w:hAnsi="Times New Roman"/>
          <w:sz w:val="24"/>
        </w:rPr>
        <w:t xml:space="preserve"> no qual o digital costuma ser </w:t>
      </w:r>
      <w:r>
        <w:rPr>
          <w:rFonts w:ascii="Times New Roman" w:hAnsi="Times New Roman"/>
          <w:strike/>
          <w:sz w:val="24"/>
          <w:highlight w:val="yellow"/>
        </w:rPr>
        <w:t>imposto como uma resposta mágica</w:t>
      </w:r>
      <w:r>
        <w:rPr>
          <w:rFonts w:ascii="Times New Roman" w:hAnsi="Times New Roman"/>
          <w:sz w:val="24"/>
          <w:highlight w:val="yellow"/>
        </w:rPr>
        <w:t>apresentado como resposta pronta</w:t>
      </w:r>
      <w:r>
        <w:rPr>
          <w:rFonts w:ascii="Times New Roman" w:hAnsi="Times New Roman"/>
          <w:sz w:val="24"/>
        </w:rPr>
        <w:t xml:space="preserve"> para os impasses do ensino, </w:t>
      </w:r>
      <w:r>
        <w:rPr>
          <w:rFonts w:ascii="Times New Roman" w:hAnsi="Times New Roman"/>
          <w:strike/>
          <w:sz w:val="24"/>
          <w:highlight w:val="yellow"/>
        </w:rPr>
        <w:t>sempre sustentado por um forte setor empresarial. Não buscamos</w:t>
      </w:r>
      <w:r>
        <w:rPr>
          <w:rFonts w:ascii="Times New Roman" w:hAnsi="Times New Roman"/>
          <w:sz w:val="24"/>
          <w:highlight w:val="yellow"/>
        </w:rPr>
        <w:t>com forte sustentação de setores empresariais. Não buscamos, contudo,</w:t>
      </w:r>
      <w:r>
        <w:rPr>
          <w:rFonts w:ascii="Times New Roman" w:hAnsi="Times New Roman"/>
          <w:sz w:val="24"/>
        </w:rPr>
        <w:t xml:space="preserve"> o peso do capitalismo de vigilância nas falas </w:t>
      </w:r>
      <w:r>
        <w:rPr>
          <w:rFonts w:ascii="Times New Roman" w:hAnsi="Times New Roman"/>
          <w:strike/>
          <w:sz w:val="24"/>
          <w:highlight w:val="yellow"/>
        </w:rPr>
        <w:t>dos</w:t>
      </w:r>
      <w:r>
        <w:rPr>
          <w:rFonts w:ascii="Times New Roman" w:hAnsi="Times New Roman"/>
          <w:sz w:val="24"/>
          <w:highlight w:val="yellow"/>
        </w:rPr>
        <w:t>de</w:t>
      </w:r>
      <w:r>
        <w:rPr>
          <w:rFonts w:ascii="Times New Roman" w:hAnsi="Times New Roman"/>
          <w:sz w:val="24"/>
        </w:rPr>
        <w:t xml:space="preserve"> doze profissionais de um </w:t>
      </w:r>
      <w:r>
        <w:rPr>
          <w:rFonts w:ascii="Times New Roman" w:hAnsi="Times New Roman"/>
          <w:strike/>
          <w:sz w:val="24"/>
          <w:highlight w:val="yellow"/>
        </w:rPr>
        <w:t>municipio</w:t>
      </w:r>
      <w:r>
        <w:rPr>
          <w:rFonts w:ascii="Times New Roman" w:hAnsi="Times New Roman"/>
          <w:sz w:val="24"/>
          <w:highlight w:val="yellow"/>
        </w:rPr>
        <w:t>município</w:t>
      </w:r>
      <w:r>
        <w:rPr>
          <w:rFonts w:ascii="Times New Roman" w:hAnsi="Times New Roman"/>
          <w:sz w:val="24"/>
        </w:rPr>
        <w:t xml:space="preserve"> de pequeno porte, pois </w:t>
      </w:r>
      <w:r>
        <w:rPr>
          <w:rFonts w:ascii="Times New Roman" w:hAnsi="Times New Roman"/>
          <w:strike/>
          <w:sz w:val="24"/>
          <w:highlight w:val="yellow"/>
        </w:rPr>
        <w:t>seria forçar</w:t>
      </w:r>
      <w:r>
        <w:rPr>
          <w:rFonts w:ascii="Times New Roman" w:hAnsi="Times New Roman"/>
          <w:sz w:val="24"/>
          <w:highlight w:val="yellow"/>
        </w:rPr>
        <w:t>isso forçaria</w:t>
      </w:r>
      <w:r>
        <w:rPr>
          <w:rFonts w:ascii="Times New Roman" w:hAnsi="Times New Roman"/>
          <w:sz w:val="24"/>
        </w:rPr>
        <w:t xml:space="preserve"> uma escala analítica que o material não comporta. Por essa razão, temas amplos como a plataformização do ensino e a governança de dados ajudam a situar o nascimento da política, </w:t>
      </w:r>
      <w:r>
        <w:rPr>
          <w:rFonts w:ascii="Times New Roman" w:hAnsi="Times New Roman"/>
          <w:strike/>
          <w:sz w:val="24"/>
          <w:highlight w:val="yellow"/>
        </w:rPr>
        <w:t>e permanecem de forma intencional fora do nosso objeto empírico, reservando-se para o horizonte de</w:t>
      </w:r>
      <w:r>
        <w:rPr>
          <w:rFonts w:ascii="Times New Roman" w:hAnsi="Times New Roman"/>
          <w:sz w:val="24"/>
          <w:highlight w:val="yellow"/>
        </w:rPr>
        <w:t>mas permanecem, intencionalmente, fora do objeto empírico e reservados a</w:t>
      </w:r>
      <w:r>
        <w:rPr>
          <w:rFonts w:ascii="Times New Roman" w:hAnsi="Times New Roman"/>
          <w:sz w:val="24"/>
        </w:rPr>
        <w:t xml:space="preserve"> pesquisas futuras.</w:t>
      </w:r>
    </w:p>
    <w:p>
      <w:pPr>
        <w:spacing w:line="360" w:lineRule="auto"/>
        <w:ind w:firstLine="709"/>
        <w:jc w:val="both"/>
      </w:pPr>
      <w:r>
        <w:rPr>
          <w:rFonts w:ascii="Times New Roman" w:hAnsi="Times New Roman"/>
          <w:sz w:val="24"/>
        </w:rPr>
        <w:t>Delimitada essa escala, torna-se necessário explicitar o percurso de uma lei até a escola. Entre o texto oficial e o cotidiano escolar, as orientações encontram pessoas, limites institucionais, recursos desiguais e dinâmicas do território, e todos esses elementos interferem no modo como a norma é implementada.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o eixo Educação Digital Escolar será lido, adaptado e, possivelmente, transformado por quem trabalha nela, e a análise precisa acompanhar essas transformações sem tratá-las, de antemão, como desvio.</w:t>
      </w:r>
    </w:p>
    <w:p>
      <w:pPr>
        <w:spacing w:line="360" w:lineRule="auto"/>
        <w:ind w:firstLine="709"/>
        <w:jc w:val="both"/>
      </w:pPr>
      <w:r>
        <w:rPr>
          <w:rFonts w:ascii="Times New Roman" w:hAnsi="Times New Roman"/>
          <w:sz w:val="24"/>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então, como o lugar onde as duas escalas se encontram e se ajustam, compreensão coerente com a escolha de tomar uma única escola como caso e de nela ouvir os profissionais.</w:t>
      </w:r>
    </w:p>
    <w:p>
      <w:pPr>
        <w:spacing w:line="360" w:lineRule="auto"/>
        <w:ind w:firstLine="709"/>
        <w:jc w:val="both"/>
      </w:pPr>
      <w:r>
        <w:rPr>
          <w:rFonts w:ascii="Times New Roman" w:hAnsi="Times New Roman"/>
          <w:sz w:val="24"/>
        </w:rPr>
        <w:t>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Mantemos o termo implementação para designar o fenômeno investigado, por ser o termo adotado pela própria legislação e pelo campo, e adotamos a atuação como perspectiva de análise. Em outras palavras, o objeto é a implementação da política, e o caminho para compreendê-la é a atuação dos profissionais da educação.</w:t>
      </w:r>
    </w:p>
    <w:p>
      <w:pPr>
        <w:spacing w:line="360" w:lineRule="auto"/>
        <w:ind w:firstLine="709"/>
        <w:jc w:val="both"/>
      </w:pPr>
      <w:r>
        <w:rPr>
          <w:rFonts w:ascii="Times New Roman" w:hAnsi="Times New Roman"/>
          <w:sz w:val="24"/>
        </w:rPr>
        <w:t>Tomando a atuação dos profissionais como centro da análise, foi necessário definir onde ela se manifesta com maior nitidez, o que levou à delimitação do estudo no 1º e no 2º anos do Ensino Fundamental. A escolha decorre da organização do trabalho escolar. Nesses dois anos, a mesma profissional conduz a turma durante toda a jornada e trabalha os diferentes componentes curriculares, enquanto, do 3º ano em diante, o trabalho se divide entre profissionais responsáveis por componentes distintos. Para a categoria proposta nesta tese, apresentada adiante, essa característica é decisiva. Quando a profissional mobiliza recursos, tempo e conhecimentos próprios diante de uma falta deixada pela política, sua ação não se dilui em uma cadeia anônima de decisões, pois tem autoria e pode ser relatada por quem a realizou. O recorte foi pensado, assim, para observar o fenômeno onde ele aparece de forma menos diluída e onde, pelo mesmo motivo, a categoria pode ser confrontada com as narrativas e, se for o caso, recusada.</w:t>
      </w:r>
    </w:p>
    <w:p>
      <w:pPr>
        <w:spacing w:line="360" w:lineRule="auto"/>
        <w:ind w:firstLine="709"/>
        <w:jc w:val="both"/>
      </w:pPr>
      <w:r>
        <w:rPr>
          <w:rFonts w:ascii="Times New Roman" w:hAnsi="Times New Roman"/>
          <w:b/>
          <w:sz w:val="24"/>
          <w:highlight w:val="yellow"/>
        </w:rPr>
        <w:t xml:space="preserve">[NOTA DA REVISÃO] </w:t>
      </w:r>
      <w:r>
        <w:rPr>
          <w:rFonts w:ascii="Times New Roman" w:hAnsi="Times New Roman"/>
          <w:i/>
          <w:sz w:val="24"/>
          <w:highlight w:val="yellow"/>
        </w:rPr>
        <w:t>O parágrafo seguinte repetia o anterior com outras palavras e foi marcado para exclusão.</w:t>
      </w:r>
    </w:p>
    <w:p>
      <w:pPr>
        <w:spacing w:line="360" w:lineRule="auto"/>
        <w:ind w:firstLine="709"/>
        <w:jc w:val="both"/>
      </w:pPr>
      <w:r>
        <w:rPr>
          <w:rFonts w:ascii="Times New Roman" w:hAnsi="Times New Roman"/>
          <w:b/>
          <w:sz w:val="24"/>
          <w:highlight w:val="yellow"/>
        </w:rPr>
        <w:t xml:space="preserve">[EXCLUIR] </w:t>
      </w:r>
      <w:r>
        <w:rPr>
          <w:rFonts w:ascii="Times New Roman" w:hAnsi="Times New Roman"/>
          <w:strike/>
          <w:sz w:val="24"/>
          <w:highlight w:val="yellow"/>
        </w:rPr>
        <w:t>Para a proposição teórica que construímos, essa singularidade da regência é essencial. Se a profissional mobiliza recursos, tempo e conhecimentos pessoais para responder a uma carência deixada pela política pública, essa ação não se dilui em uma cadeia anônima de decisões: ela tem autoria, rosto e voz. A delimitação foi desenhada exatamente para observar o fenômeno em seu estado mais nítido, permitindo que a nossa categoria analítica seja analisada e confrontada diretamente com as narrativas de quem assume essa responsabilidade.</w:t>
      </w:r>
    </w:p>
    <w:p>
      <w:pPr>
        <w:spacing w:line="360" w:lineRule="auto"/>
        <w:ind w:firstLine="709"/>
        <w:jc w:val="both"/>
      </w:pPr>
      <w:r>
        <w:rPr>
          <w:rFonts w:ascii="Times New Roman" w:hAnsi="Times New Roman"/>
          <w:sz w:val="24"/>
        </w:rPr>
        <w:t>Nesses dois anos situa-se também o ciclo de alfabetização, cujo lugar nesta tese precisa ser esclarecido. Acompanhamos esse momento da escolarização desde o mestrado, mas a aprendizagem da escrita e o desenvolvimento infantil não constituem objeto desta investigação. O interesse pela etapa decorre por ser a entrada da criança no Ensino Fundamental, momento em que a escola passa a ter a tarefa de compreender as experiências digitais construídas pelas crianças fora de seus muros.</w:t>
      </w:r>
    </w:p>
    <w:p>
      <w:pPr>
        <w:spacing w:line="360" w:lineRule="auto"/>
        <w:ind w:firstLine="709"/>
        <w:jc w:val="both"/>
      </w:pPr>
      <w:r>
        <w:rPr>
          <w:rFonts w:ascii="Times New Roman" w:hAnsi="Times New Roman"/>
          <w:sz w:val="24"/>
        </w:rPr>
        <w:t xml:space="preserve">Essas experiências costumam ser lidas a partir da ideia, bastante difundida, </w:t>
      </w:r>
      <w:r>
        <w:rPr>
          <w:rFonts w:ascii="Times New Roman" w:hAnsi="Times New Roman"/>
          <w:strike/>
          <w:sz w:val="24"/>
          <w:highlight w:val="yellow"/>
        </w:rPr>
        <w:t>os nativos digitais, de uma facilidade natural das novas gerações</w:t>
      </w:r>
      <w:r>
        <w:rPr>
          <w:rFonts w:ascii="Times New Roman" w:hAnsi="Times New Roman"/>
          <w:sz w:val="24"/>
          <w:highlight w:val="yellow"/>
        </w:rPr>
        <w:t>de nativos digitais (PRENSKY, 2001), segundo a qual as novas gerações teriam facilidade natural</w:t>
      </w:r>
      <w:r>
        <w:rPr>
          <w:rFonts w:ascii="Times New Roman" w:hAnsi="Times New Roman"/>
          <w:sz w:val="24"/>
        </w:rPr>
        <w:t xml:space="preserve">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 Nos anos iniciais, ela recai sobre a equipe pedagógica</w:t>
      </w:r>
      <w:r>
        <w:rPr>
          <w:rFonts w:ascii="Times New Roman" w:hAnsi="Times New Roman"/>
          <w:strike/>
          <w:sz w:val="24"/>
          <w:highlight w:val="yellow"/>
        </w:rPr>
        <w:t>, porém diretamente</w:t>
      </w:r>
      <w:r>
        <w:rPr>
          <w:rFonts w:ascii="Times New Roman" w:hAnsi="Times New Roman"/>
          <w:sz w:val="24"/>
          <w:highlight w:val="yellow"/>
        </w:rPr>
        <w:t xml:space="preserve"> e, de modo direto, sobre</w:t>
      </w:r>
      <w:r>
        <w:rPr>
          <w:rFonts w:ascii="Times New Roman" w:hAnsi="Times New Roman"/>
          <w:sz w:val="24"/>
        </w:rPr>
        <w:t xml:space="preserve"> a professora regente.</w:t>
      </w:r>
    </w:p>
    <w:p>
      <w:pPr>
        <w:spacing w:line="360" w:lineRule="auto"/>
        <w:ind w:firstLine="709"/>
        <w:jc w:val="both"/>
      </w:pPr>
      <w:r>
        <w:rPr>
          <w:rFonts w:ascii="Times New Roman" w:hAnsi="Times New Roman"/>
          <w:sz w:val="24"/>
        </w:rPr>
        <w:t xml:space="preserve">Em Pipa, além disso, as crianças chegam à escola com experiências digitais muito desiguais, marcadas pela trajetória e pelas possibilidades de suas famílias e pelo próprio território. Diante dessa diversidade e sem o apoio anunciado pela política, supomos que </w:t>
      </w:r>
      <w:r>
        <w:rPr>
          <w:rFonts w:ascii="Times New Roman" w:hAnsi="Times New Roman"/>
          <w:strike/>
          <w:sz w:val="24"/>
          <w:highlight w:val="yellow"/>
        </w:rPr>
        <w:t>o profissional</w:t>
      </w:r>
      <w:r>
        <w:rPr>
          <w:rFonts w:ascii="Times New Roman" w:hAnsi="Times New Roman"/>
          <w:sz w:val="24"/>
          <w:highlight w:val="yellow"/>
        </w:rPr>
        <w:t>a professora</w:t>
      </w:r>
      <w:r>
        <w:rPr>
          <w:rFonts w:ascii="Times New Roman" w:hAnsi="Times New Roman"/>
          <w:sz w:val="24"/>
        </w:rPr>
        <w:t xml:space="preserve"> regente assuma essa tarefa, traduzindo essas linguagens no cotidiano e respondendo com os recursos </w:t>
      </w:r>
      <w:r>
        <w:rPr>
          <w:rFonts w:ascii="Times New Roman" w:hAnsi="Times New Roman"/>
          <w:strike/>
          <w:sz w:val="24"/>
          <w:highlight w:val="yellow"/>
        </w:rPr>
        <w:t>que se</w:t>
      </w:r>
      <w:r>
        <w:rPr>
          <w:rFonts w:ascii="Times New Roman" w:hAnsi="Times New Roman"/>
          <w:sz w:val="24"/>
          <w:highlight w:val="yellow"/>
        </w:rPr>
        <w:t>de que</w:t>
      </w:r>
      <w:r>
        <w:rPr>
          <w:rFonts w:ascii="Times New Roman" w:hAnsi="Times New Roman"/>
          <w:sz w:val="24"/>
        </w:rPr>
        <w:t xml:space="preserve"> dispõe. É essa margem de decisão, exercida no canteiro da sala de aula, que a pesquisa propõe examinar.</w:t>
      </w:r>
    </w:p>
    <w:p>
      <w:pPr>
        <w:spacing w:line="360" w:lineRule="auto"/>
        <w:ind w:firstLine="709"/>
        <w:jc w:val="both"/>
      </w:pPr>
      <w:r>
        <w:rPr>
          <w:rFonts w:ascii="Times New Roman" w:hAnsi="Times New Roman"/>
          <w:sz w:val="24"/>
        </w:rPr>
        <w:t>Com esse recorte, definimos o objeto desta pesquisa: a implementação do eixo Educação Digital Escolar da PNED nos anos iniciais do Ensino Fundamental da Escola Municipal Domitila Castelo, no distrito de Pipa, em Tibau do Sul (RN). O estudo dessa escola exige olhar de perto o lugar onde a política é recebida e vivida. Por essa razão, o território, o funcionamento da escola e as condições de infraestrutura entram na análise como dimensões do contexto da prática, e as narrativas dos profissionais da educação constituem o principal caminho para compreender como a política ganha forma no cotidiano escolar.</w:t>
      </w:r>
    </w:p>
    <w:p>
      <w:pPr>
        <w:spacing w:line="360" w:lineRule="auto"/>
        <w:ind w:firstLine="709"/>
        <w:jc w:val="both"/>
      </w:pPr>
      <w:r>
        <w:rPr>
          <w:rFonts w:ascii="Times New Roman" w:hAnsi="Times New Roman"/>
          <w:sz w:val="24"/>
        </w:rPr>
        <w:t>O objeto nos coloca diante de uma questão presente em toda a tese: o que acontece com a implementação de uma política quando os direitos por ela instituídos não vêm acompanhados dos meios necessários para se realizarem? A seção 1.2 mostra como o próprio desenho da PNED produz essa situação. Diante dela e dos limites dos referenciais mobilizados, a pesquisa propõe uma categoria analítica, a discricionariedade substitutiva, apresentada na seção 1.4 e submetida às narrativas dos profissionais no Capítulo 7.</w:t>
      </w:r>
    </w:p>
    <w:p>
      <w:pPr>
        <w:spacing w:line="360" w:lineRule="auto" w:before="240" w:after="240"/>
      </w:pPr>
      <w:r>
        <w:rPr>
          <w:rFonts w:ascii="Times New Roman" w:hAnsi="Times New Roman"/>
          <w:b/>
          <w:sz w:val="24"/>
        </w:rPr>
        <w:t>1.1 JUSTIFICATIVA</w:t>
      </w:r>
    </w:p>
    <w:p>
      <w:pPr>
        <w:spacing w:line="360" w:lineRule="auto"/>
        <w:ind w:firstLine="709"/>
        <w:jc w:val="both"/>
      </w:pPr>
      <w:r>
        <w:rPr>
          <w:rFonts w:ascii="Times New Roman" w:hAnsi="Times New Roman"/>
          <w:sz w:val="24"/>
        </w:rPr>
        <w:t xml:space="preserve">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2023a, art. 3º, III e IV). Com a derrubada do veto ao § 11 do art. 26 da Lei de Diretrizes e Bases da Educação Nacional (LDB), a educação digital passou a ser componente curricular do ensino fundamental (BRASIL, 1996, art. 26, § 11), e a proteção da infância no ambiente digital ganhou outro marco com o Estatuto Digital da Criança e do Adolescente (BRASIL, 2025c), em vigor desde março de 2026. O componente </w:t>
      </w:r>
      <w:r>
        <w:rPr>
          <w:rFonts w:ascii="Times New Roman" w:hAnsi="Times New Roman"/>
          <w:strike/>
          <w:sz w:val="24"/>
          <w:highlight w:val="yellow"/>
        </w:rPr>
        <w:t>curricular pode ser</w:t>
      </w:r>
      <w:r>
        <w:rPr>
          <w:rFonts w:ascii="Times New Roman" w:hAnsi="Times New Roman"/>
          <w:sz w:val="24"/>
          <w:highlight w:val="yellow"/>
        </w:rPr>
        <w:t>pode tanto ser trabalhado de forma</w:t>
      </w:r>
      <w:r>
        <w:rPr>
          <w:rFonts w:ascii="Times New Roman" w:hAnsi="Times New Roman"/>
          <w:sz w:val="24"/>
        </w:rPr>
        <w:t xml:space="preserve"> transversal, permeando as diferentes áreas do conhecimento, quanto </w:t>
      </w:r>
      <w:r>
        <w:rPr>
          <w:rFonts w:ascii="Times New Roman" w:hAnsi="Times New Roman"/>
          <w:strike/>
          <w:sz w:val="24"/>
          <w:highlight w:val="yellow"/>
        </w:rPr>
        <w:t>um componente curricular</w:t>
      </w:r>
      <w:r>
        <w:rPr>
          <w:rFonts w:ascii="Times New Roman" w:hAnsi="Times New Roman"/>
          <w:sz w:val="24"/>
          <w:highlight w:val="yellow"/>
        </w:rPr>
        <w:t>constituir componente</w:t>
      </w:r>
      <w:r>
        <w:rPr>
          <w:rFonts w:ascii="Times New Roman" w:hAnsi="Times New Roman"/>
          <w:sz w:val="24"/>
        </w:rPr>
        <w:t xml:space="preserve"> específico, a critério de cada sistema de ensino.</w:t>
      </w:r>
    </w:p>
    <w:p>
      <w:pPr>
        <w:spacing w:line="360" w:lineRule="auto"/>
        <w:ind w:firstLine="709"/>
        <w:jc w:val="both"/>
      </w:pPr>
      <w:r>
        <w:rPr>
          <w:rFonts w:ascii="Times New Roman" w:hAnsi="Times New Roman"/>
          <w:sz w:val="24"/>
        </w:rPr>
        <w:t>Nos anos iniciais, a escola é, para muitas crianças, o primeiro espaço público onde o uso das tecnologias digitais pode ser discutido com alguém responsável pelo ensino. O modo como o eixo chega à sala de aula define, por isso, se as crianças de seis e sete anos chegarão a compreender o ambiente digital e a se proteger nele. Quando o eixo não chega, ou chega por meios improvisados, perde-se parte da formação para a cidadania e da proteção reconhecidas pela lei como direito.</w:t>
      </w:r>
    </w:p>
    <w:p>
      <w:pPr>
        <w:spacing w:line="360" w:lineRule="auto"/>
        <w:ind w:firstLine="709"/>
        <w:jc w:val="both"/>
      </w:pPr>
      <w:r>
        <w:rPr>
          <w:rFonts w:ascii="Times New Roman" w:hAnsi="Times New Roman"/>
          <w:sz w:val="24"/>
        </w:rPr>
        <w:t>O eixo é relevante, também, por quem o faz acontecer. A própria lei reconhece a participação de diferentes sujeitos na implementação ao incluir, entre as estratégias prioritárias, a promoção das tecnologias digitais como ferramenta e conteúdo programático dos cursos de formação continuada de gestores e profissionais da educação de todos os níveis e modalidades de ensino (BRASIL, 2023a, art. 3º, § 1º, X). Direção, coordenação e professores regentes participam da implementação de modos diferentes, e o trabalho de cada um não se limita à sala de aula. Por essa razão, escolhemos olhar a implementação a partir dessas pessoas.</w:t>
      </w:r>
    </w:p>
    <w:p>
      <w:pPr>
        <w:spacing w:line="360" w:lineRule="auto"/>
        <w:ind w:firstLine="709"/>
        <w:jc w:val="both"/>
      </w:pPr>
      <w:r>
        <w:rPr>
          <w:rFonts w:ascii="Times New Roman" w:hAnsi="Times New Roman"/>
          <w:sz w:val="24"/>
        </w:rPr>
        <w:t>Além da ACP, essa escolha encontra apoio na teoria da burocracia de nível de rua. Lipsky (2019) estudou os trabalhadores do serviço público em contato direto com a população, entre eles os professores, e sustenta: “as decisões dos burocratas de nível de rua, as rotinas que estabelecem e os dispositivos que criam para lidar com incertezas e pressões no trabalho tornam-se efetivamente as políticas públicas que eles realizam” (LIPSKY, 2019, p. 17). Para o autor, a discricionariedade integra o próprio trabalho, uma vez que esses trabalhadores “têm discricionariedade porque suas tarefas demandam legitimamente observação e julgamento sensíveis, que não são redutíveis a formatos programados” (LIPSKY, 2019, p. 59). Articulados, os dois referenciais cumprem funções diferentes na tese. A ACP acompanha a política do texto até a escola e mostra como ela é interpretada e recriada; a teoria de Lipsky aproxima a análise do momento da decisão, tomada diante de regras, demandas e recursos concretos. Com ambos, tratamos os profissionais da educação como sujeitos capazes de atribuir sentido à política e de decidir diante do que encontram, e ouvi-los torna-se o caminho para compreender em que condições a PNED ganha forma na escola.</w:t>
      </w:r>
    </w:p>
    <w:p>
      <w:pPr>
        <w:spacing w:line="360" w:lineRule="auto"/>
        <w:ind w:firstLine="709"/>
        <w:jc w:val="both"/>
      </w:pPr>
      <w:r>
        <w:rPr>
          <w:rFonts w:ascii="Times New Roman" w:hAnsi="Times New Roman"/>
          <w:sz w:val="24"/>
        </w:rPr>
        <w:t xml:space="preserve">O uso de Lipsky (2019), porém, exige que se diga onde sua formulação deixa de cobrir o caso. O autor pensou em serviços públicos de grande porte, em que “o processamento em massa de clientes é a norma” (LIPSKY, 2019, p. 16). Uma escola pequena de Pipa é outra realidade. O profissional conhece cada criança e família e, com frequência, vive no mesmo território. Adiar uma atividade tem custo social imediato e é uma decisão tomada diante de pessoas que ela </w:t>
      </w:r>
      <w:r>
        <w:rPr>
          <w:rFonts w:ascii="Times New Roman" w:hAnsi="Times New Roman"/>
          <w:strike/>
          <w:sz w:val="24"/>
          <w:highlight w:val="yellow"/>
        </w:rPr>
        <w:t>vai reencontrar fora da escola.</w:t>
      </w:r>
      <w:r>
        <w:rPr>
          <w:rFonts w:ascii="Times New Roman" w:hAnsi="Times New Roman"/>
          <w:sz w:val="24"/>
          <w:highlight w:val="yellow"/>
        </w:rPr>
        <w:t>reencontrará fora da escola. Retomamos esse limite, com mais detalhe, na seção 1.4.</w:t>
      </w:r>
    </w:p>
    <w:p>
      <w:pPr>
        <w:spacing w:line="360" w:lineRule="auto"/>
        <w:ind w:firstLine="709"/>
        <w:jc w:val="both"/>
      </w:pPr>
      <w:r>
        <w:rPr>
          <w:rFonts w:ascii="Times New Roman" w:hAnsi="Times New Roman"/>
          <w:sz w:val="24"/>
        </w:rPr>
        <w:t>A categoria mais ampla, no entanto, não apaga as diferenças. Ball, Maguire e Braun (2016, p. 75) observaram, nas escolas estudadas, que “os atores nas escolas são posicionados de forma diferente e assumem posições diversas em relação à política”. Na escola investigada, quem está na regência da turma, na coordenação, na direção ou na Secretaria recebe a política de um lugar diferente, com margem de decisão, acesso a recursos e responsabilidades próprios. Assim, a professora em regência precisa encaixar conteúdos de cultura digital em uma turma de 1º ano com o tempo, os recursos e as condições de que dispõe; a direção decide prioridades e recursos, como a contratação de uma conexão de internet adequada ao uso pedagógico ou a escolha da demanda a ser encaminhada à Secretaria quando os recursos não bastam para todas; e a coordenação pedagógica, entre outras atribuições, negocia a entrada de novas exigências curriculares em uma rotina já tomada por horários, demandas e prioridades. A mesma orientação da PNED pode, desse modo, ganhar sentidos e gerar demandas diferentes em cada posição. Ler a implementação a partir da posição de cada participante evita, ainda, cobrar de cada profissional o que somente o desenho da política poderia garantir.</w:t>
      </w:r>
    </w:p>
    <w:p>
      <w:pPr>
        <w:spacing w:line="360" w:lineRule="auto"/>
        <w:ind w:firstLine="709"/>
        <w:jc w:val="both"/>
      </w:pPr>
      <w:r>
        <w:rPr>
          <w:rFonts w:ascii="Times New Roman" w:hAnsi="Times New Roman"/>
          <w:b/>
          <w:sz w:val="24"/>
          <w:highlight w:val="yellow"/>
        </w:rPr>
        <w:t xml:space="preserve">[NOTA DA REVISÃO] </w:t>
      </w:r>
      <w:r>
        <w:rPr>
          <w:rFonts w:ascii="Times New Roman" w:hAnsi="Times New Roman"/>
          <w:i/>
          <w:sz w:val="24"/>
          <w:highlight w:val="yellow"/>
        </w:rPr>
        <w:t>O parágrafo seguinte repetia o anterior (“a categoria mais ampla não apaga as diferenças”) e foi marcado para exclusão.</w:t>
      </w:r>
    </w:p>
    <w:p>
      <w:pPr>
        <w:spacing w:line="360" w:lineRule="auto"/>
        <w:ind w:firstLine="709"/>
        <w:jc w:val="both"/>
      </w:pPr>
      <w:r>
        <w:rPr>
          <w:rFonts w:ascii="Times New Roman" w:hAnsi="Times New Roman"/>
          <w:b/>
          <w:sz w:val="24"/>
          <w:highlight w:val="yellow"/>
        </w:rPr>
        <w:t xml:space="preserve">[EXCLUIR] </w:t>
      </w:r>
      <w:r>
        <w:rPr>
          <w:rFonts w:ascii="Times New Roman" w:hAnsi="Times New Roman"/>
          <w:strike/>
          <w:sz w:val="24"/>
          <w:highlight w:val="yellow"/>
        </w:rPr>
        <w:t>É importante destacar que a categoria mais ampla não apaga as diferenças. Quem está na regência de sala, na coordenação, na direção ou na Secretaria recebe a política de uma forma diferente, no que se refere à margem de decisão, acesso a recursos e responsabilidades próprias. Dessa maneira, a mesma orientação da PNED ganha sentidos e gera demandas diferentes em cada posição.</w:t>
      </w:r>
    </w:p>
    <w:p>
      <w:pPr>
        <w:spacing w:line="360" w:lineRule="auto"/>
        <w:ind w:firstLine="709"/>
        <w:jc w:val="both"/>
      </w:pPr>
      <w:r>
        <w:rPr>
          <w:rFonts w:ascii="Times New Roman" w:hAnsi="Times New Roman"/>
          <w:sz w:val="24"/>
        </w:rPr>
        <w:t>A delimitação do campo em Pipa acrescenta à pesquisa condições próprias do território. O distrito integra um município de pequeno porte, mas apresenta turismo intenso e relações econômicas, sociais e culturais para além dos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pois a conectividade de que dependem os circuitos turísticos convive, no mesmo distrito, com uma escola pública de poucos recursos digitais.</w:t>
      </w:r>
    </w:p>
    <w:p>
      <w:pPr>
        <w:spacing w:line="360" w:lineRule="auto"/>
        <w:ind w:firstLine="709"/>
        <w:jc w:val="both"/>
      </w:pPr>
      <w:r>
        <w:rPr>
          <w:rFonts w:ascii="Times New Roman" w:hAnsi="Times New Roman"/>
          <w:sz w:val="24"/>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portanto, reúnem-se experiências digitais desiguais, e a negociação desse “aqui-e-agora” cabe, em grande parte, aos profissionais da educação. A PNED contempla populações vulneráveis, crianças e adolescentes e estudantes com deficiência (BRASIL, 2023a, art. 1º; art. 3º, IV e V), mas não prevê, em sua formulação, as particularidades dessa diversidade territorial.</w:t>
      </w:r>
    </w:p>
    <w:p>
      <w:pPr>
        <w:spacing w:line="360" w:lineRule="auto"/>
        <w:ind w:firstLine="709"/>
        <w:jc w:val="both"/>
      </w:pPr>
      <w:r>
        <w:rPr>
          <w:rFonts w:ascii="Times New Roman" w:hAnsi="Times New Roman"/>
          <w:sz w:val="24"/>
        </w:rPr>
        <w:t>Consideramos, ainda, que 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ind w:firstLine="709"/>
        <w:jc w:val="both"/>
      </w:pPr>
      <w:r>
        <w:rPr>
          <w:rFonts w:ascii="Times New Roman" w:hAnsi="Times New Roman"/>
          <w:sz w:val="24"/>
        </w:rPr>
        <w:t xml:space="preserve">Castells (2013) e Bauman (1999) discutem a aceleração das transformações da cultura contemporânea. Desse debate, interessa-nos o que diz respeito à escola: novas demandas ligadas às tecnologias e à cultura digital chegam com rapidez, enquanto a jornada, os momentos de planejamento e os horários seguem uma organização definida antes delas. O problema está, então, no tempo de que os profissionais dispõem para incorporar essas exigências a uma rotina já estabelecida. </w:t>
      </w:r>
      <w:r>
        <w:rPr>
          <w:rFonts w:ascii="Times New Roman" w:hAnsi="Times New Roman"/>
          <w:strike/>
          <w:sz w:val="24"/>
          <w:highlight w:val="yellow"/>
        </w:rPr>
        <w:t>Queiroz e Paiva (2014, p. 253) lembram que os profissionais da escola “exercem várias funções”, da gestão à docência, ao planejamento e à avaliação, e que o trabalho docente se estende à casa, “quando planeja as aulas, corrige trabalhos, preenche cadernetas” (p. 255).</w:t>
      </w:r>
      <w:r>
        <w:rPr>
          <w:rFonts w:ascii="Times New Roman" w:hAnsi="Times New Roman"/>
          <w:sz w:val="24"/>
          <w:highlight w:val="yellow"/>
        </w:rPr>
        <w:t>Esse tempo, como mostramos na seção 1.2, já estava ocupado antes da PNED.</w:t>
      </w:r>
    </w:p>
    <w:p>
      <w:pPr>
        <w:spacing w:line="360" w:lineRule="auto"/>
        <w:ind w:firstLine="709"/>
        <w:jc w:val="both"/>
      </w:pPr>
      <w:r>
        <w:rPr>
          <w:rFonts w:ascii="Times New Roman" w:hAnsi="Times New Roman"/>
          <w:sz w:val="24"/>
        </w:rPr>
        <w:t xml:space="preserve">A posição da pesquisadora também integra esse quadro. Freire (2019, p. 96) afirma: “Neutra, ‘indiferente’ a qualquer destas hipóteses, a da reprodução da ideologia dominante ou a de sua contestação, a educação jamais foi, é, ou pode ser”. Esta pesquisa, dedicada à educação, assume a mesma condição e não se pretende </w:t>
      </w:r>
      <w:r>
        <w:rPr>
          <w:rFonts w:ascii="Times New Roman" w:hAnsi="Times New Roman"/>
          <w:strike/>
          <w:sz w:val="24"/>
          <w:highlight w:val="yellow"/>
        </w:rPr>
        <w:t>neutralidade</w:t>
      </w:r>
      <w:r>
        <w:rPr>
          <w:rFonts w:ascii="Times New Roman" w:hAnsi="Times New Roman"/>
          <w:sz w:val="24"/>
          <w:highlight w:val="yellow"/>
        </w:rPr>
        <w:t>neutra</w:t>
      </w:r>
      <w:r>
        <w:rPr>
          <w:rFonts w:ascii="Times New Roman" w:hAnsi="Times New Roman"/>
          <w:sz w:val="24"/>
        </w:rPr>
        <w:t>. A tese dá continuidade à pesquisa de mestrado, uma pesquisa-ação realizada durante a pandemia com uma turma de 2º ano da mesma escola, e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exige cuidado para o saber prévio da pesquisadora não se sobrepor ao que o campo</w:t>
      </w:r>
      <w:r>
        <w:rPr>
          <w:rFonts w:ascii="Times New Roman" w:hAnsi="Times New Roman"/>
          <w:sz w:val="24"/>
          <w:highlight w:val="yellow"/>
        </w:rPr>
        <w:t xml:space="preserve"> mostrar</w:t>
      </w:r>
      <w:r>
        <w:rPr>
          <w:rFonts w:ascii="Times New Roman" w:hAnsi="Times New Roman"/>
          <w:sz w:val="24"/>
        </w:rPr>
        <w:t>. Além disso, como o município é um dos entes federados aos quais a lei distribui a responsabilidade dos meios, a pesquisadora não olha o problema de fora, e as relações institucionais no território pedem cuidado redobrado para essa posição não limitar a liberdade dos participantes em suas narrativas.</w:t>
      </w:r>
    </w:p>
    <w:p>
      <w:pPr>
        <w:spacing w:line="360" w:lineRule="auto" w:before="240" w:after="240"/>
      </w:pPr>
      <w:r>
        <w:rPr>
          <w:rFonts w:ascii="Times New Roman" w:hAnsi="Times New Roman"/>
          <w:b/>
          <w:sz w:val="24"/>
        </w:rPr>
        <w:t>1.2 PROBLEMATIZAÇÃO</w:t>
      </w:r>
    </w:p>
    <w:p>
      <w:pPr>
        <w:spacing w:line="360" w:lineRule="auto"/>
        <w:ind w:firstLine="709"/>
        <w:jc w:val="both"/>
      </w:pPr>
      <w:r>
        <w:rPr>
          <w:rFonts w:ascii="Times New Roman" w:hAnsi="Times New Roman"/>
          <w:sz w:val="24"/>
        </w:rPr>
        <w:t>A distância entre o direito declarado e os meios garantidos aparece já no desenho da lei. A PNED reconhece a educação digital como direito e chega a inscrever na LDB, entre os deveres do Estado, a garantia de conectividade das escolas públicas (BRASIL, 2023a, art. 7º). Ao mesmo tempo, define-se como instância de articulação, sem substituir as políticas de infraestrutura digital e conectividade já existentes (BRASIL, 2023a, art. 1º, § 3º). Quanto ao financiamento, indica dotações orçamentárias dos entes federados, doações e os fundos setoriais das telecomunicações, o Fust e o Funttel, sem criar fundo próprio (BRASIL, 2023a, art. 11), e determina o desenvolvimento do eixo de inclusão digital, no qual se encontra a conectividade das escolas, “dentro dos limites orçamentários e no âmbito de competência de cada órgão governamental envolvido” (BRASIL, 2023a, art. 2º). A lei declara, assim,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ind w:firstLine="709"/>
        <w:jc w:val="both"/>
      </w:pPr>
      <w:r>
        <w:rPr>
          <w:rFonts w:ascii="Times New Roman" w:hAnsi="Times New Roman"/>
          <w:sz w:val="24"/>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240"/>
        <w:ind w:left="2268"/>
        <w:jc w:val="both"/>
      </w:pPr>
      <w:r>
        <w:rPr>
          <w:rFonts w:ascii="Times New Roman" w:hAnsi="Times New Roman"/>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ind w:firstLine="709"/>
        <w:jc w:val="both"/>
      </w:pPr>
      <w:r>
        <w:rPr>
          <w:rFonts w:ascii="Times New Roman" w:hAnsi="Times New Roman"/>
          <w:sz w:val="24"/>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uma vez que formação específica, infraestrutura de rede e tempo de planejamento não são garantidos pela norma e acabam sendo construídos no contexto da prática.</w:t>
      </w:r>
    </w:p>
    <w:p>
      <w:pPr>
        <w:spacing w:line="360" w:lineRule="auto"/>
        <w:ind w:firstLine="709"/>
        <w:jc w:val="both"/>
      </w:pPr>
      <w:r>
        <w:rPr>
          <w:rFonts w:ascii="Times New Roman" w:hAnsi="Times New Roman"/>
          <w:sz w:val="24"/>
        </w:rPr>
        <w:t xml:space="preserve">Esse desenho tende a pesar mais em municípios de pequeno porte, como </w:t>
      </w:r>
      <w:r>
        <w:rPr>
          <w:rFonts w:ascii="Times New Roman" w:hAnsi="Times New Roman"/>
          <w:strike/>
          <w:sz w:val="24"/>
          <w:highlight w:val="yellow"/>
        </w:rPr>
        <w:t>onde</w:t>
      </w:r>
      <w:r>
        <w:rPr>
          <w:rFonts w:ascii="Times New Roman" w:hAnsi="Times New Roman"/>
          <w:sz w:val="24"/>
          <w:highlight w:val="yellow"/>
        </w:rPr>
        <w:t>aquele em que</w:t>
      </w:r>
      <w:r>
        <w:rPr>
          <w:rFonts w:ascii="Times New Roman" w:hAnsi="Times New Roman"/>
          <w:sz w:val="24"/>
        </w:rPr>
        <w:t xml:space="preserve"> a pesquisa se desenvolve. A situação poderia ser tratada como simples falha de gestão local. Recusamos essa leitura, pois ela retira de cena o desenho da lei e invisibiliza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w:t>
      </w:r>
      <w:r>
        <w:rPr>
          <w:rFonts w:ascii="Times New Roman" w:hAnsi="Times New Roman"/>
          <w:strike/>
          <w:sz w:val="24"/>
          <w:highlight w:val="yellow"/>
        </w:rPr>
        <w:t>A análise no</w:t>
      </w:r>
      <w:r>
        <w:rPr>
          <w:rFonts w:ascii="Times New Roman" w:hAnsi="Times New Roman"/>
          <w:sz w:val="24"/>
          <w:highlight w:val="yellow"/>
        </w:rPr>
        <w:t>Enfatizar o</w:t>
      </w:r>
      <w:r>
        <w:rPr>
          <w:rFonts w:ascii="Times New Roman" w:hAnsi="Times New Roman"/>
          <w:sz w:val="24"/>
        </w:rPr>
        <w:t xml:space="preserve"> peso do desenho da política não isenta a gestão local, mas permite situar cada responsabilidade em sua escala.</w:t>
      </w:r>
    </w:p>
    <w:p>
      <w:pPr>
        <w:spacing w:line="360" w:lineRule="auto"/>
        <w:ind w:firstLine="709"/>
        <w:jc w:val="both"/>
      </w:pPr>
      <w:r>
        <w:rPr>
          <w:rFonts w:ascii="Times New Roman" w:hAnsi="Times New Roman"/>
          <w:sz w:val="24"/>
        </w:rPr>
        <w:t xml:space="preserve">Os indicadores nacionais ajudam </w:t>
      </w:r>
      <w:r>
        <w:rPr>
          <w:rFonts w:ascii="Times New Roman" w:hAnsi="Times New Roman"/>
          <w:strike/>
          <w:sz w:val="24"/>
          <w:highlight w:val="yellow"/>
        </w:rPr>
        <w:t>na dimensão dessa</w:t>
      </w:r>
      <w:r>
        <w:rPr>
          <w:rFonts w:ascii="Times New Roman" w:hAnsi="Times New Roman"/>
          <w:sz w:val="24"/>
          <w:highlight w:val="yellow"/>
        </w:rPr>
        <w:t>a dimensionar essa</w:t>
      </w:r>
      <w:r>
        <w:rPr>
          <w:rFonts w:ascii="Times New Roman" w:hAnsi="Times New Roman"/>
          <w:sz w:val="24"/>
        </w:rPr>
        <w:t xml:space="preserve"> distância. De acordo com a TIC Educação 2024, pesquisa do Comitê Gestor da Internet no Brasil (CGI.BR, 2025a), 96% das escolas brasileiras possuíam acesso à Internet, percentual de 94% na rede municipal. Em relação aos computadores disponíveis para os alunos, a proporção de escolas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uma diferença ainda maior, pois, em 2024, menos de três em cada dez dispunham de computadores para uso dos alunos. Ter Internet na escola, portanto, não basta para a conexão se tornar experiência educativa, uma vez que falta, em muitas escolas, o meio de levar o digital ao trabalho pedagógico.</w:t>
      </w:r>
    </w:p>
    <w:p>
      <w:pPr>
        <w:spacing w:line="360" w:lineRule="auto"/>
        <w:ind w:firstLine="709"/>
        <w:jc w:val="both"/>
      </w:pPr>
      <w:r>
        <w:rPr>
          <w:rFonts w:ascii="Times New Roman" w:hAnsi="Times New Roman"/>
          <w:sz w:val="24"/>
        </w:rPr>
        <w:t xml:space="preserve">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escrito na norma encontra </w:t>
      </w:r>
      <w:r>
        <w:rPr>
          <w:rFonts w:ascii="Times New Roman" w:hAnsi="Times New Roman"/>
          <w:strike/>
          <w:sz w:val="24"/>
          <w:highlight w:val="yellow"/>
        </w:rPr>
        <w:t>territorio</w:t>
      </w:r>
      <w:r>
        <w:rPr>
          <w:rFonts w:ascii="Times New Roman" w:hAnsi="Times New Roman"/>
          <w:sz w:val="24"/>
          <w:highlight w:val="yellow"/>
        </w:rPr>
        <w:t>território</w:t>
      </w:r>
      <w:r>
        <w:rPr>
          <w:rFonts w:ascii="Times New Roman" w:hAnsi="Times New Roman"/>
          <w:sz w:val="24"/>
        </w:rPr>
        <w:t>, tempos, recursos, responsabilidades e formas de organização já existentes, e busca compreender como os profissionais da educação lidam com uma exigência cujas condições de cumprimento ainda estão sendo construídas.</w:t>
      </w:r>
    </w:p>
    <w:p>
      <w:pPr>
        <w:spacing w:line="360" w:lineRule="auto"/>
        <w:ind w:firstLine="709"/>
        <w:jc w:val="both"/>
      </w:pPr>
      <w:r>
        <w:rPr>
          <w:rFonts w:ascii="Times New Roman" w:hAnsi="Times New Roman"/>
          <w:sz w:val="24"/>
        </w:rPr>
        <w:t xml:space="preserve">Entre essas condições, o tempo ocupa lugar central, e por isso precisamos explicitar o sentido de condições de trabalho, expressão presente em toda a tese e sujeita ao risco de se tornar um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Dessas dimensões, o tempo recebe atenção especial, porque nele a entrada da cultura digital na escola se torna mais visível. </w:t>
      </w:r>
      <w:r>
        <w:rPr>
          <w:rFonts w:ascii="Times New Roman" w:hAnsi="Times New Roman"/>
          <w:strike/>
          <w:sz w:val="24"/>
          <w:highlight w:val="yellow"/>
        </w:rPr>
        <w:t xml:space="preserve">Novas demandas ligadas às tecnologias chegam com rapidez, enquanto a jornada, os momentos de planejamento e os horários seguem uma organização definida antes delas. </w:t>
      </w:r>
      <w:r>
        <w:rPr>
          <w:rFonts w:ascii="Times New Roman" w:hAnsi="Times New Roman"/>
          <w:sz w:val="24"/>
        </w:rPr>
        <w:t>A relação entre a velocidade das transformações da cultura contemporânea e o tempo escolar recebe tratamento teórico no Capítulo 3; nesta introdução, interessa-nos o tempo concreto do trabalho.</w:t>
      </w:r>
    </w:p>
    <w:p>
      <w:pPr>
        <w:spacing w:line="360" w:lineRule="auto"/>
        <w:ind w:firstLine="709"/>
        <w:jc w:val="both"/>
      </w:pPr>
      <w:r>
        <w:rPr>
          <w:rFonts w:ascii="Times New Roman" w:hAnsi="Times New Roman"/>
          <w:sz w:val="24"/>
        </w:rPr>
        <w:t>Esse tempo já estava ocupado antes da PNED. Queiroz e Paiva (2014</w:t>
      </w:r>
      <w:r>
        <w:rPr>
          <w:rFonts w:ascii="Times New Roman" w:hAnsi="Times New Roman"/>
          <w:strike/>
          <w:sz w:val="24"/>
          <w:highlight w:val="yellow"/>
        </w:rPr>
        <w:t>, p. 253</w:t>
      </w:r>
      <w:r>
        <w:rPr>
          <w:rFonts w:ascii="Times New Roman" w:hAnsi="Times New Roman"/>
          <w:sz w:val="24"/>
        </w:rPr>
        <w:t xml:space="preserve">) lembram que os profissionais da escola </w:t>
      </w:r>
      <w:r>
        <w:rPr>
          <w:rFonts w:ascii="Times New Roman" w:hAnsi="Times New Roman"/>
          <w:strike/>
          <w:sz w:val="24"/>
          <w:highlight w:val="yellow"/>
        </w:rPr>
        <w:t>“exercem várias funções”</w:t>
      </w:r>
      <w:r>
        <w:rPr>
          <w:rFonts w:ascii="Times New Roman" w:hAnsi="Times New Roman"/>
          <w:sz w:val="24"/>
          <w:highlight w:val="yellow"/>
        </w:rPr>
        <w:t>exercem várias funções</w:t>
      </w:r>
      <w:r>
        <w:rPr>
          <w:rFonts w:ascii="Times New Roman" w:hAnsi="Times New Roman"/>
          <w:sz w:val="24"/>
        </w:rPr>
        <w:t>, da gestão à docência, ao planejamento e à avaliação</w:t>
      </w:r>
      <w:r>
        <w:rPr>
          <w:rFonts w:ascii="Times New Roman" w:hAnsi="Times New Roman"/>
          <w:sz w:val="24"/>
          <w:highlight w:val="yellow"/>
        </w:rPr>
        <w:t>, e que o trabalho docente se estende à casa, “quando planeja as aulas, corrige trabalhos, preenche cadernetas” (QUEIROZ; PAIVA, 2014, p. 255)</w:t>
      </w:r>
      <w:r>
        <w:rPr>
          <w:rFonts w:ascii="Times New Roman" w:hAnsi="Times New Roman"/>
          <w:sz w:val="24"/>
        </w:rPr>
        <w:t xml:space="preserve">.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w:t>
      </w:r>
      <w:r>
        <w:rPr>
          <w:rFonts w:ascii="Times New Roman" w:hAnsi="Times New Roman"/>
          <w:strike/>
          <w:sz w:val="24"/>
          <w:highlight w:val="yellow"/>
        </w:rPr>
        <w:t xml:space="preserve">Mais de oito em cada dez profissionais, portanto, já levavam a escola para casa. </w:t>
      </w:r>
      <w:r>
        <w:rPr>
          <w:rFonts w:ascii="Times New Roman" w:hAnsi="Times New Roman"/>
          <w:sz w:val="24"/>
        </w:rPr>
        <w:t>O dado pertence àquele período e antecede a PNED; porém, serve para situar o cenário no qual novas tarefas chegam à escola, sem medir a situação atual.</w:t>
      </w:r>
    </w:p>
    <w:p>
      <w:pPr>
        <w:spacing w:line="360" w:lineRule="auto"/>
        <w:ind w:firstLine="709"/>
        <w:jc w:val="both"/>
      </w:pPr>
      <w:r>
        <w:rPr>
          <w:rFonts w:ascii="Times New Roman" w:hAnsi="Times New Roman"/>
          <w:sz w:val="24"/>
        </w:rPr>
        <w:t xml:space="preserve">A situação tampouco é exclusiva </w:t>
      </w:r>
      <w:r>
        <w:rPr>
          <w:rFonts w:ascii="Times New Roman" w:hAnsi="Times New Roman"/>
          <w:strike/>
          <w:sz w:val="24"/>
          <w:highlight w:val="yellow"/>
        </w:rPr>
        <w:t>e situada apenas no</w:t>
      </w:r>
      <w:r>
        <w:rPr>
          <w:rFonts w:ascii="Times New Roman" w:hAnsi="Times New Roman"/>
          <w:sz w:val="24"/>
          <w:highlight w:val="yellow"/>
        </w:rPr>
        <w:t>do</w:t>
      </w:r>
      <w:r>
        <w:rPr>
          <w:rFonts w:ascii="Times New Roman" w:hAnsi="Times New Roman"/>
          <w:sz w:val="24"/>
        </w:rPr>
        <w:t xml:space="preserve"> Brasil. Lipsky (2019) reproduz a queixa de um professor de Nova Iorque sobre a redução de pessoal, o aumento de responsabilidades e a redução dos recursos, na qual o professor menciona “a falta de suprimentos e equipamentos e muito mais (tudo isso com uma equipe reduzida), para não mencionar o volume de trabalho que levamos para casa conosco” (LIPSKY, 2019, p. 330). Como vimos na seção 1.1, as rotinas criadas pelos trabalhadores para lidar com as pressões do trabalho tornam-se, para o autor, a própria política realizada, e </w:t>
      </w:r>
      <w:r>
        <w:rPr>
          <w:rFonts w:ascii="Times New Roman" w:hAnsi="Times New Roman"/>
          <w:sz w:val="24"/>
          <w:highlight w:val="yellow"/>
        </w:rPr>
        <w:t xml:space="preserve">o autor </w:t>
      </w:r>
      <w:r>
        <w:rPr>
          <w:rFonts w:ascii="Times New Roman" w:hAnsi="Times New Roman"/>
          <w:sz w:val="24"/>
        </w:rPr>
        <w:t>adverte: “Essas práticas e orientações de trabalho são mantidas, mesmo que contribuam para a distorção do serviço ideal” (LIPSKY, 2019, p. 21). Em Pipa, onde algumas carências chegam, em determinados momentos, a ser ausência de recursos e de meios de ação, essas escolhas ganham outro peso. A implementação da PNED passa, portanto, pelas decisões cotidianas sobre prioridades e adaptações, sobre o que os profissionais procuram suprir com recursos próprios e sobre o que permanece sem resposta.</w:t>
      </w:r>
    </w:p>
    <w:p>
      <w:pPr>
        <w:spacing w:line="360" w:lineRule="auto"/>
        <w:ind w:firstLine="709"/>
        <w:jc w:val="both"/>
      </w:pPr>
      <w:r>
        <w:rPr>
          <w:rFonts w:ascii="Times New Roman" w:hAnsi="Times New Roman"/>
          <w:sz w:val="24"/>
        </w:rPr>
        <w:t xml:space="preserve">A Revisão Sistemática da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 resposta é parcial, pois ainda é reduzida a produção sobre essa etapa. O corpus final reúne nove estudos e, dos vinte e seis trabalhos excluídos após a leitura integral, sete não apresentavam dados capazes de identificar a etapa. Os estudos reunidos indicam que a implementação dessas políticas depende da articulação entre recursos disponíveis, condições institucionais e trabalho dos profissionais da educação, os quais participam de sua interpretação diante das condições do cotidiano escolar. Apenas um estudo, porém, delimita explicitamente o ciclo de alfabetização, e nenhum examina empiricamente o eixo Educação Digital Escolar da PNED, o que se explica, em parte, pela novidade da norma, cuja implementação curricular só se tornou obrigatória em 2026, </w:t>
      </w:r>
      <w:r>
        <w:rPr>
          <w:rFonts w:ascii="Times New Roman" w:hAnsi="Times New Roman"/>
          <w:strike/>
          <w:sz w:val="24"/>
          <w:highlight w:val="yellow"/>
        </w:rPr>
        <w:t>mesmo a lei sendo criada em</w:t>
      </w:r>
      <w:r>
        <w:rPr>
          <w:rFonts w:ascii="Times New Roman" w:hAnsi="Times New Roman"/>
          <w:sz w:val="24"/>
          <w:highlight w:val="yellow"/>
        </w:rPr>
        <w:t>embora a lei seja de</w:t>
      </w:r>
      <w:r>
        <w:rPr>
          <w:rFonts w:ascii="Times New Roman" w:hAnsi="Times New Roman"/>
          <w:sz w:val="24"/>
        </w:rPr>
        <w:t xml:space="preserve"> 2023. O corpus também não reúne estudos sobre redes municipais de pequeno porte com características territoriais semelhantes às de Pipa-RN. Esses resultados valem para o recorte e os critérios adotados e não provam a inexistência de pesquisas desse tipo fora deles.</w:t>
      </w:r>
    </w:p>
    <w:p>
      <w:pPr>
        <w:spacing w:line="360" w:lineRule="auto"/>
        <w:ind w:firstLine="709"/>
        <w:jc w:val="both"/>
      </w:pPr>
      <w:r>
        <w:rPr>
          <w:rFonts w:ascii="Times New Roman" w:hAnsi="Times New Roman"/>
          <w:sz w:val="24"/>
        </w:rPr>
        <w:t xml:space="preserve">O desenho da lei, </w:t>
      </w:r>
      <w:r>
        <w:rPr>
          <w:rFonts w:ascii="Times New Roman" w:hAnsi="Times New Roman"/>
          <w:strike/>
          <w:sz w:val="24"/>
          <w:highlight w:val="yellow"/>
        </w:rPr>
        <w:t>capacidade da rede, tempo de trabalho,</w:t>
      </w:r>
      <w:r>
        <w:rPr>
          <w:rFonts w:ascii="Times New Roman" w:hAnsi="Times New Roman"/>
          <w:sz w:val="24"/>
          <w:highlight w:val="yellow"/>
        </w:rPr>
        <w:t>a capacidade da rede, o tempo de trabalho, as</w:t>
      </w:r>
      <w:r>
        <w:rPr>
          <w:rFonts w:ascii="Times New Roman" w:hAnsi="Times New Roman"/>
          <w:sz w:val="24"/>
        </w:rPr>
        <w:t xml:space="preserve"> desigualdades do território, discutidas na seção 1.1, e</w:t>
      </w:r>
      <w:r>
        <w:rPr>
          <w:rFonts w:ascii="Times New Roman" w:hAnsi="Times New Roman"/>
          <w:sz w:val="24"/>
          <w:highlight w:val="yellow"/>
        </w:rPr>
        <w:t xml:space="preserve"> a</w:t>
      </w:r>
      <w:r>
        <w:rPr>
          <w:rFonts w:ascii="Times New Roman" w:hAnsi="Times New Roman"/>
          <w:sz w:val="24"/>
        </w:rPr>
        <w:t xml:space="preserve"> lacuna da literatura convergem, assim, para o trabalho de mediação realizado pelos profissionais em suas diferentes posições, e nossa análise se concentra nesse trabalho, feito de interpretações, traduções, escolhas e limites. Supomos que a PNED ganhe sentidos diversos conforme circule entre os professores regentes, a coordenação pedagógica, a direção escolar e a Secretaria Municipal de Educação (SME) e encontre as condições do território. Desse modo, delineamos a questão norteadora da pesquisa: como ocorre a implementação do eixo Educação Digital Escolar da PNED nos anos iniciais do Ensino Fundamental, considerando os processos de interpretação, tradução e recontextualização construídos pelos profissionais da educação no contexto da prática?</w:t>
      </w:r>
    </w:p>
    <w:p>
      <w:pPr>
        <w:spacing w:line="360" w:lineRule="auto" w:before="240" w:after="240"/>
      </w:pPr>
      <w:r>
        <w:rPr>
          <w:rFonts w:ascii="Times New Roman" w:hAnsi="Times New Roman"/>
          <w:b/>
          <w:sz w:val="24"/>
        </w:rPr>
        <w:t>1.3 OBJETIVOS</w:t>
      </w:r>
    </w:p>
    <w:p>
      <w:pPr>
        <w:spacing w:line="360" w:lineRule="auto"/>
        <w:ind w:firstLine="709"/>
        <w:jc w:val="both"/>
      </w:pPr>
      <w:r>
        <w:rPr>
          <w:rFonts w:ascii="Times New Roman" w:hAnsi="Times New Roman"/>
          <w:sz w:val="24"/>
        </w:rPr>
        <w:t>A questão norteadora desdobra-se no objetivo geral e em três objetivos específicos, dispostos na ordem da análise: o que a política promete e com que meios, as condições que a recebem e o que os profissionais fazem com a distância entre uma coisa e outra.</w:t>
      </w:r>
    </w:p>
    <w:p>
      <w:pPr>
        <w:spacing w:line="360" w:lineRule="auto" w:before="240" w:after="240"/>
      </w:pPr>
      <w:r>
        <w:rPr>
          <w:rFonts w:ascii="Times New Roman" w:hAnsi="Times New Roman"/>
          <w:b/>
          <w:sz w:val="24"/>
        </w:rPr>
        <w:t>1.3.1 Objetivo geral</w:t>
      </w:r>
    </w:p>
    <w:p>
      <w:pPr>
        <w:spacing w:line="360" w:lineRule="auto"/>
        <w:ind w:firstLine="709"/>
        <w:jc w:val="both"/>
      </w:pPr>
      <w:r>
        <w:rPr>
          <w:rFonts w:ascii="Times New Roman" w:hAnsi="Times New Roman"/>
          <w:sz w:val="24"/>
        </w:rPr>
        <w:t>Analisar a implementação do eixo Educação Digital Escolar da Política Nacional de Educação Digital (PNED) nos anos iniciais do Ensino Fundamental, considerando as relações entre a normativa, as condições institucionais e territoriais no contexto da prática, bem como os processos de interpretação, tradução e recontextualização construídos pelos profissionais da educação.</w:t>
      </w:r>
    </w:p>
    <w:p>
      <w:pPr>
        <w:spacing w:line="360" w:lineRule="auto" w:before="240" w:after="240"/>
      </w:pPr>
      <w:r>
        <w:rPr>
          <w:rFonts w:ascii="Times New Roman" w:hAnsi="Times New Roman"/>
          <w:b/>
          <w:sz w:val="24"/>
        </w:rPr>
        <w:t>1.3.2 Objetivos específicos</w:t>
      </w:r>
    </w:p>
    <w:p>
      <w:pPr>
        <w:spacing w:line="360" w:lineRule="auto"/>
        <w:ind w:firstLine="709"/>
        <w:jc w:val="both"/>
      </w:pPr>
      <w:r>
        <w:rPr>
          <w:rFonts w:ascii="Times New Roman" w:hAnsi="Times New Roman"/>
          <w:sz w:val="24"/>
        </w:rPr>
        <w:t>a) Examinar a constituição do eixo Educação Digital Escolar da PNED nos contextos de influência e de produção do texto da política, considerando as agendas internacionais, a trajetória brasileira das políticas de tecnologias digitais na educação e os princípios, diretrizes e sentidos atribuídos ao texto legal;</w:t>
      </w:r>
    </w:p>
    <w:p>
      <w:pPr>
        <w:spacing w:line="360" w:lineRule="auto"/>
        <w:ind w:firstLine="709"/>
        <w:jc w:val="both"/>
      </w:pPr>
      <w:r>
        <w:rPr>
          <w:rFonts w:ascii="Times New Roman" w:hAnsi="Times New Roman"/>
          <w:sz w:val="24"/>
        </w:rPr>
        <w:t>b) Caracterizar o território de Pipa e a escola investigada como contexto da prática, tomando as transformações históricas e socioeconômicas do distrito e as condições institucionais e materiais do cotidiano escolar como dimensões analíticas da implementação do eixo;</w:t>
      </w:r>
    </w:p>
    <w:p>
      <w:pPr>
        <w:spacing w:line="360" w:lineRule="auto"/>
        <w:ind w:firstLine="709"/>
        <w:jc w:val="both"/>
      </w:pPr>
      <w:r>
        <w:rPr>
          <w:rFonts w:ascii="Times New Roman" w:hAnsi="Times New Roman"/>
          <w:sz w:val="24"/>
        </w:rPr>
        <w:t>c) Compreender como os profissionais da educação, em diferentes posições institucionais, interpretam, traduzem e recontextualizam as orientações do eixo Educação Digital Escolar, que sentidos atribuem à educação digital e como exercem sua margem de decisão diante das condições que a política anuncia sem garantir que cheguem à escola investigada.</w:t>
      </w:r>
    </w:p>
    <w:p>
      <w:pPr>
        <w:spacing w:line="360" w:lineRule="auto"/>
        <w:ind w:firstLine="709"/>
        <w:jc w:val="both"/>
      </w:pPr>
      <w:r>
        <w:rPr>
          <w:rFonts w:ascii="Times New Roman" w:hAnsi="Times New Roman"/>
          <w:sz w:val="24"/>
        </w:rPr>
        <w:t>Para alcançar esses objetivos, adotamos abordagem qualitativa, de natureza interpretativa,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 A produção dos dados recorre a quatro instrumentos: a) análise documental das normas da política e dos documentos da rede e da escola; b) questionário aplicado aos participantes; c) entrevista semiestruturada; e d) registro iconográfico das condições materiais e da infraestrutura da escola. Diferentemente do mestrado, esta pesquisa não observa aulas, e as práticas chegam à análise pelas narrativas dos participantes, enquanto as condições materiais chegam pelos documentos e pelos registros iconográficos. O registro iconográfico e a consulta ao acervo histórico já foram realizados e sustentam o Capítulo 6; a análise documental ainda será feita. O questionário e as entrevistas</w:t>
      </w:r>
      <w:r>
        <w:rPr>
          <w:rFonts w:ascii="Times New Roman" w:hAnsi="Times New Roman"/>
          <w:sz w:val="24"/>
          <w:highlight w:val="yellow"/>
        </w:rPr>
        <w:t xml:space="preserve"> serão aplicados em seguida</w:t>
      </w:r>
      <w:r>
        <w:rPr>
          <w:rFonts w:ascii="Times New Roman" w:hAnsi="Times New Roman"/>
          <w:sz w:val="24"/>
        </w:rPr>
        <w:t>, com instrumentos ajustados para o exame da categoria proposta.</w:t>
      </w:r>
    </w:p>
    <w:p>
      <w:pPr>
        <w:spacing w:line="360" w:lineRule="auto"/>
        <w:ind w:firstLine="709"/>
        <w:jc w:val="both"/>
      </w:pPr>
      <w:r>
        <w:rPr>
          <w:rFonts w:ascii="Times New Roman" w:hAnsi="Times New Roman"/>
          <w:sz w:val="24"/>
        </w:rPr>
        <w:t>Participam doze profissionais da educação: seis atuantes nas turmas de 1º e 2º anos, quatro da coordenação pedagógica, um da direção escolar e um da SME. As narrativas serão tratadas pela análise temática reflexiva (BRAUN; CLARKE, 2006, 2019), na qual os temas são construções produzidas no encontro entre os dados, o referencial teórico e a reflexividade de quem analisa. Nas palavras das autoras,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spacing w:line="360" w:lineRule="auto" w:before="240" w:after="240"/>
      </w:pPr>
      <w:r>
        <w:rPr>
          <w:rFonts w:ascii="Times New Roman" w:hAnsi="Times New Roman"/>
          <w:b/>
          <w:sz w:val="24"/>
        </w:rPr>
        <w:t>1.4 CONTRIBUIÇÃO ESPERADA E DELIMITAÇÕES DA PESQUISA</w:t>
      </w:r>
    </w:p>
    <w:p>
      <w:pPr>
        <w:spacing w:line="360" w:lineRule="auto"/>
        <w:ind w:firstLine="709"/>
        <w:jc w:val="both"/>
      </w:pPr>
      <w:r>
        <w:rPr>
          <w:rFonts w:ascii="Times New Roman" w:hAnsi="Times New Roman"/>
          <w:sz w:val="24"/>
        </w:rPr>
        <w:t xml:space="preserve">A contribuição desta tese parte de um limite encontrado nos referenciais mobilizados. </w:t>
      </w:r>
      <w:r>
        <w:rPr>
          <w:rFonts w:ascii="Times New Roman" w:hAnsi="Times New Roman"/>
          <w:sz w:val="24"/>
          <w:highlight w:val="yellow"/>
        </w:rPr>
        <w:t xml:space="preserve">Como vimos na seção 1.1, </w:t>
      </w:r>
      <w:r>
        <w:rPr>
          <w:rFonts w:ascii="Times New Roman" w:hAnsi="Times New Roman"/>
          <w:sz w:val="24"/>
        </w:rPr>
        <w:t xml:space="preserve">Lipsky (2019) construiu sua teoria observando serviços </w:t>
      </w:r>
      <w:r>
        <w:rPr>
          <w:rFonts w:ascii="Times New Roman" w:hAnsi="Times New Roman"/>
          <w:strike/>
          <w:sz w:val="24"/>
          <w:highlight w:val="yellow"/>
        </w:rPr>
        <w:t>nos quais “o processamento em massa de clientes é a norma” (LIPSKY, 2019, p. 16) e nos quais</w:t>
      </w:r>
      <w:r>
        <w:rPr>
          <w:rFonts w:ascii="Times New Roman" w:hAnsi="Times New Roman"/>
          <w:sz w:val="24"/>
          <w:highlight w:val="yellow"/>
        </w:rPr>
        <w:t>de grande porte, nos quais o atendimento em massa é a regra e</w:t>
      </w:r>
      <w:r>
        <w:rPr>
          <w:rFonts w:ascii="Times New Roman" w:hAnsi="Times New Roman"/>
          <w:sz w:val="24"/>
        </w:rPr>
        <w:t xml:space="preserve"> “os recursos são cronicamente insuficientes em relação às tarefas solicitadas aos trabalhadores” (LIPSKY, 2019, p. 80). Diante dessa insuficiência, o trabalhador raciona o serviço, e o</w:t>
      </w:r>
      <w:r>
        <w:rPr>
          <w:rFonts w:ascii="Times New Roman" w:hAnsi="Times New Roman"/>
          <w:sz w:val="24"/>
          <w:highlight w:val="yellow"/>
        </w:rPr>
        <w:t xml:space="preserve"> autor</w:t>
      </w:r>
      <w:r>
        <w:rPr>
          <w:rFonts w:ascii="Times New Roman" w:hAnsi="Times New Roman"/>
          <w:sz w:val="24"/>
        </w:rPr>
        <w:t xml:space="preserve"> define: “Racionar bens ou serviços é estabelecer o nível ou as proporções de sua distribuição” (LIPSKY, 2019, p. 181). Na escola investigada, a situação é outra. Como registramos na abertura desta introdução e documentamos no Capítulo 6, as salas de 1º e 2º anos não dispõem de dispositivos digitais, </w:t>
      </w:r>
      <w:r>
        <w:rPr>
          <w:rFonts w:ascii="Times New Roman" w:hAnsi="Times New Roman"/>
          <w:strike/>
          <w:sz w:val="24"/>
          <w:highlight w:val="yellow"/>
        </w:rPr>
        <w:t>ou seja</w:t>
      </w:r>
      <w:r>
        <w:rPr>
          <w:rFonts w:ascii="Times New Roman" w:hAnsi="Times New Roman"/>
          <w:sz w:val="24"/>
          <w:highlight w:val="yellow"/>
        </w:rPr>
        <w:t>e, portanto</w:t>
      </w:r>
      <w:r>
        <w:rPr>
          <w:rFonts w:ascii="Times New Roman" w:hAnsi="Times New Roman"/>
          <w:sz w:val="24"/>
        </w:rPr>
        <w:t>, não há o que racionar. A questão, nesse caso, antecede o racionamento: que margem de ação resta à profissional quando falta aquilo de que a política depende para acontecer na sala de aula? A escala também é outra</w:t>
      </w:r>
      <w:r>
        <w:rPr>
          <w:rFonts w:ascii="Times New Roman" w:hAnsi="Times New Roman"/>
          <w:strike/>
          <w:sz w:val="24"/>
          <w:highlight w:val="yellow"/>
        </w:rPr>
        <w:t>. Em uma escola pequena de Pipa, a profissional conhece cada criança e cada família e, com frequência, vive no mesmo território. Adiar uma atividade tem, nesse contexto, custo social imediato e constitui uma decisão tomada diante de pessoas que ele reencontrará fora da escola</w:t>
      </w:r>
      <w:r>
        <w:rPr>
          <w:rFonts w:ascii="Times New Roman" w:hAnsi="Times New Roman"/>
          <w:sz w:val="24"/>
          <w:highlight w:val="yellow"/>
        </w:rPr>
        <w:t>, pois, como discutido na justificativa, a profissional de uma escola pequena convive com as famílias fora dela, e cada decisão tem custo social imediato</w:t>
      </w:r>
      <w:r>
        <w:rPr>
          <w:rFonts w:ascii="Times New Roman" w:hAnsi="Times New Roman"/>
          <w:sz w:val="24"/>
        </w:rPr>
        <w:t>.</w:t>
      </w:r>
    </w:p>
    <w:p>
      <w:pPr>
        <w:spacing w:line="360" w:lineRule="auto"/>
        <w:ind w:firstLine="709"/>
        <w:jc w:val="both"/>
      </w:pPr>
      <w:r>
        <w:rPr>
          <w:rFonts w:ascii="Times New Roman" w:hAnsi="Times New Roman"/>
          <w:sz w:val="24"/>
        </w:rPr>
        <w:t>A ACP também encontra limites.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240"/>
        <w:ind w:left="2268"/>
        <w:jc w:val="both"/>
      </w:pPr>
      <w:r>
        <w:rPr>
          <w:rFonts w:ascii="Times New Roman" w:hAnsi="Times New Roman"/>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ind w:firstLine="709"/>
        <w:jc w:val="both"/>
      </w:pPr>
      <w:r>
        <w:rPr>
          <w:rFonts w:ascii="Times New Roman" w:hAnsi="Times New Roman"/>
          <w:sz w:val="24"/>
        </w:rPr>
        <w:t>Ball, Maguire e Braun (2016, p. 48), por sua vez, incluem entre os contextos da atuação o contexto material, o qual “refere-se aos aspectos ‘físicos’ de uma escola: edifícios e orçamentos, mas também aos funcionários, às tecnologias de informação e à infraestrutura”. Essas formulações reconhecem o peso da matéria, mas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Nem o racionamento descrito por Lipsky (2019) nem a margem de interpretação discutida pela ACP explicam, isoladamente, o trabalho desses profissionais.</w:t>
      </w:r>
    </w:p>
    <w:p>
      <w:pPr>
        <w:spacing w:line="360" w:lineRule="auto"/>
        <w:ind w:firstLine="709"/>
        <w:jc w:val="both"/>
      </w:pPr>
      <w:r>
        <w:rPr>
          <w:rFonts w:ascii="Times New Roman" w:hAnsi="Times New Roman"/>
          <w:sz w:val="24"/>
        </w:rPr>
        <w:t>Em outro texto, Ball oferece a formulação mais próxima do fenômeno buscado por esta tese:</w:t>
      </w:r>
    </w:p>
    <w:p>
      <w:pPr>
        <w:spacing w:line="240" w:lineRule="auto" w:after="240"/>
        <w:ind w:left="2268"/>
        <w:jc w:val="both"/>
      </w:pPr>
      <w:r>
        <w:rPr>
          <w:rFonts w:ascii="Times New Roman" w:hAnsi="Times New Roman"/>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ind w:firstLine="709"/>
        <w:jc w:val="both"/>
      </w:pPr>
      <w:r>
        <w:rPr>
          <w:rFonts w:ascii="Times New Roman" w:hAnsi="Times New Roman"/>
          <w:sz w:val="24"/>
        </w:rPr>
        <w:t>A PNED cria uma dessas circunstâncias e define o que a escola deve ensinar, como pensamento computacional, cultura digital e direitos digitais. Em Pipa, a resposta a ser construída no contexto encontra um espectro de opções reduzido pela ausência dos próprios meios, e a ação criativa descrita por Ball (2011) pode, nessa situação, mudar de natureza.</w:t>
      </w:r>
    </w:p>
    <w:p>
      <w:pPr>
        <w:spacing w:line="360" w:lineRule="auto"/>
        <w:ind w:firstLine="709"/>
        <w:jc w:val="both"/>
      </w:pPr>
      <w:r>
        <w:rPr>
          <w:rFonts w:ascii="Times New Roman" w:hAnsi="Times New Roman"/>
          <w:sz w:val="24"/>
        </w:rPr>
        <w:t>É desse descompasso que nasce a proposição desta tese, a “discricionariedade substitutiva</w:t>
      </w:r>
      <w:r>
        <w:rPr>
          <w:rFonts w:ascii="Times New Roman" w:hAnsi="Times New Roman"/>
          <w:strike/>
          <w:sz w:val="24"/>
          <w:highlight w:val="yellow"/>
        </w:rPr>
        <w:t>"</w:t>
      </w:r>
      <w:r>
        <w:rPr>
          <w:rFonts w:ascii="Times New Roman" w:hAnsi="Times New Roman"/>
          <w:sz w:val="24"/>
          <w:highlight w:val="yellow"/>
        </w:rPr>
        <w:t>”</w:t>
      </w:r>
      <w:r>
        <w:rPr>
          <w:rFonts w:ascii="Times New Roman" w:hAnsi="Times New Roman"/>
          <w:sz w:val="24"/>
        </w:rPr>
        <w:t xml:space="preserve">. A categoria nomeia o que acontece com a decisão profissional quando a política institui um direito, transforma esse direito em dever do Estado e distribui entre os entes federados a tarefa de prover os meios, sem mecanismo capaz de garantir sua chegada à escola, isto é, o desenho descrito na seção 1.2. Nossa proposição é que, nesse caso, a decisão passa a recair sobre aquilo que não existe, pois a profissional supre com recursos, conhecimento e tempo próprios uma condição anunciada pela PNED e não assegurada à escola. Mudam, com isso, o objeto da decisão e quem arca com seu custo. Por apostarmos nessa categoria, fixamos, antes do campo, os critérios metodológicos que a sustentarão e as condições em que teremos de abandoná-la (Capítulo 4). </w:t>
      </w:r>
      <w:r>
        <w:rPr>
          <w:rFonts w:ascii="Times New Roman" w:hAnsi="Times New Roman"/>
          <w:strike/>
          <w:sz w:val="24"/>
          <w:highlight w:val="yellow"/>
        </w:rPr>
        <w:t>Trata-se da principal contribuição da tese para a</w:t>
      </w:r>
      <w:r>
        <w:rPr>
          <w:rFonts w:ascii="Times New Roman" w:hAnsi="Times New Roman"/>
          <w:sz w:val="24"/>
          <w:highlight w:val="yellow"/>
        </w:rPr>
        <w:t>Essa é a principal contribuição que a tese pretende oferecer à</w:t>
      </w:r>
      <w:r>
        <w:rPr>
          <w:rFonts w:ascii="Times New Roman" w:hAnsi="Times New Roman"/>
          <w:sz w:val="24"/>
        </w:rPr>
        <w:t xml:space="preserve"> pesquisa em educação.</w:t>
      </w:r>
    </w:p>
    <w:p>
      <w:pPr>
        <w:spacing w:line="360" w:lineRule="auto"/>
        <w:ind w:firstLine="709"/>
        <w:jc w:val="both"/>
      </w:pPr>
      <w:r>
        <w:rPr>
          <w:rFonts w:ascii="Times New Roman" w:hAnsi="Times New Roman"/>
          <w:sz w:val="24"/>
        </w:rPr>
        <w:t>Reconhecemos, contudo, situações próximas registradas pela literatura, das quais a categoria precisa se diferenciar. Ball, Maguire e Braun (2016) encontraram, nas escolas inglesas estudadas, atuações sustentadas por “uma grande dose de compromisso cru (de alguns diferentes tipos e graus, para estudantes e para as escolas) e muito boa vontade” (BALL; MAGUIRE; BRAUN, 2016, p. 102). Lipsky (2019, p. 416) menciona o professor que “dedica um tempo extra a um aluno novo” e retoma Maynard-Moody e Musheno, autores do relato de um conselheiro que “desconsiderou a burocracia para prover um computador para um cliente” em um ato “que redime o Estado” (LIPSKY, 2019, p. 417). Nesses casos, alguém contorna uma regra em favor de outra pessoa, ou a escola dispõe de meios, em maior ou menor quantidade. A discricionariedade substitutiva descreve outra situação, na qual a profissional faz o que a própria política prescreve e supre, de forma recorrente e para a turma inteira, uma condição anunciada pela política e ausente da escola.</w:t>
      </w:r>
    </w:p>
    <w:p>
      <w:pPr>
        <w:spacing w:line="360" w:lineRule="auto"/>
        <w:ind w:firstLine="709"/>
        <w:jc w:val="both"/>
      </w:pPr>
      <w:r>
        <w:rPr>
          <w:rFonts w:ascii="Times New Roman" w:hAnsi="Times New Roman"/>
          <w:sz w:val="24"/>
        </w:rPr>
        <w:t xml:space="preserve">A ausência atinge também o conhecimento esperado dos profissionais, além de equipamentos e conexão. A lei inclui entre as estratégias do eixo a formação inicial de professores em competências digitais e a presença das tecnologias nos cursos de formação continuada (BRASIL, 2023a, art. 3º, § 1º, IX e X), mas como ações de promoção, sem definir responsáveis, prazos, carga horária ou fontes de custeio. A Resolução CNE/CEB nº 2/2025 só veio em 2025, mais de dois anos depois da PNED, e atribuiu aos sistemas de ensino e às instituições a definição e a implementação de estratégias de formação continuada para a educação digital e midiática (BRASIL, 2025a, art. 37). Se os registros da SME e o questionário confirmarem a chegada recente da formação à rede investigada, os profissionais terão passado esse intervalo responsáveis por um componente curricular sem a formação prevista. </w:t>
      </w:r>
      <w:r>
        <w:rPr>
          <w:rFonts w:ascii="Times New Roman" w:hAnsi="Times New Roman"/>
          <w:strike/>
          <w:sz w:val="24"/>
          <w:highlight w:val="yellow"/>
        </w:rPr>
        <w:t>É preciso o entendimento do que foi de fato suprido por essa formação, caso não tenha como ponto de partida as reais necessidades dos profissionais, também será considerada como inexistente, pois os mesmo precisam suprir</w:t>
      </w:r>
      <w:r>
        <w:rPr>
          <w:rFonts w:ascii="Times New Roman" w:hAnsi="Times New Roman"/>
          <w:sz w:val="24"/>
          <w:highlight w:val="yellow"/>
        </w:rPr>
        <w:t>Também será preciso compreender o que essa formação de fato supriu: se não partiu das necessidades reais dos profissionais, a lacuna continuará a ser preenchida</w:t>
      </w:r>
      <w:r>
        <w:rPr>
          <w:rFonts w:ascii="Times New Roman" w:hAnsi="Times New Roman"/>
          <w:sz w:val="24"/>
        </w:rPr>
        <w:t xml:space="preserve"> com tempo e recursos próprios</w:t>
      </w:r>
      <w:r>
        <w:rPr>
          <w:rFonts w:ascii="Times New Roman" w:hAnsi="Times New Roman"/>
          <w:strike/>
          <w:sz w:val="24"/>
          <w:highlight w:val="yellow"/>
        </w:rPr>
        <w:t xml:space="preserve"> essa lacuna</w:t>
      </w:r>
      <w:r>
        <w:rPr>
          <w:rFonts w:ascii="Times New Roman" w:hAnsi="Times New Roman"/>
          <w:sz w:val="24"/>
          <w:highlight w:val="yellow"/>
        </w:rPr>
        <w:t>, situação examinada pelos critérios do Capítulo 4</w:t>
      </w:r>
      <w:r>
        <w:rPr>
          <w:rFonts w:ascii="Times New Roman" w:hAnsi="Times New Roman"/>
          <w:sz w:val="24"/>
        </w:rPr>
        <w:t>.</w:t>
      </w:r>
    </w:p>
    <w:p>
      <w:pPr>
        <w:spacing w:line="360" w:lineRule="auto"/>
        <w:ind w:firstLine="709"/>
        <w:jc w:val="both"/>
      </w:pPr>
      <w:r>
        <w:rPr>
          <w:rFonts w:ascii="Times New Roman" w:hAnsi="Times New Roman"/>
          <w:sz w:val="24"/>
        </w:rPr>
        <w:t>Diante disso, perguntamos: como uma professora ensina pensamento computacional e direitos digitais a crianças de seis e sete anos se a política não lhe ofereceu, a tempo, formação nesses conteúdos ou foi insuficiente para suas necessidades formativas? Valente (1999, p. 105) já apontava a existência de barreiras que “nem o professor nem a administração da escola conseguem vencer sem o auxílio de especialistas na área”. Castells (2003, p. 212), ao discutir a divisão digital, observa que o sistema escolar, “mesmo quanto [sic] dispõe da tecnologia, carece de professores capazes de usá-la com eficiência, além de pedagogia e organização institucional para estimular novas habilidades de aprendizado”, e que, “na falta de treinamento adequado dos professores, e de reforma pedagógica nas escolas, as famílias assumem grande parte da responsabilidade pela instrução dos filhos”. Castells (2003) trata da realidade norte-americana, e a leitura aplicada à escola pública brasileira é da tese, mas a lógica é semelhante: quando a instituição não oferece a condição, alguém a assume. Quando a formação não chega, a profissional aprende sozinha, no tempo retirado da própria jornada, à noite ou no fim de semana, ou ensina o que já sabe, reduzindo o eixo a esse repertório. O custo dessa substituição se mede, sobretudo, em tempo, e as entrevistas procuram captá-lo pelo relato dos participantes.</w:t>
      </w:r>
    </w:p>
    <w:p>
      <w:pPr>
        <w:spacing w:line="360" w:lineRule="auto"/>
        <w:ind w:firstLine="709"/>
        <w:jc w:val="both"/>
      </w:pPr>
      <w:r>
        <w:rPr>
          <w:rFonts w:ascii="Times New Roman" w:hAnsi="Times New Roman"/>
          <w:b/>
          <w:sz w:val="24"/>
          <w:highlight w:val="yellow"/>
        </w:rPr>
        <w:t xml:space="preserve">[NOTA DA REVISÃO] </w:t>
      </w:r>
      <w:r>
        <w:rPr>
          <w:rFonts w:ascii="Times New Roman" w:hAnsi="Times New Roman"/>
          <w:i/>
          <w:sz w:val="24"/>
          <w:highlight w:val="yellow"/>
        </w:rPr>
        <w:t>Castells (2003) é citado com páginas 8 e 212, mas a lista de referências traz apenas Castells (2013), A sociedade em rede. Incluir a obra de 2003 na lista.</w:t>
      </w:r>
    </w:p>
    <w:p>
      <w:pPr>
        <w:spacing w:line="360" w:lineRule="auto"/>
        <w:ind w:firstLine="709"/>
        <w:jc w:val="both"/>
      </w:pPr>
      <w:r>
        <w:rPr>
          <w:rFonts w:ascii="Times New Roman" w:hAnsi="Times New Roman"/>
          <w:sz w:val="24"/>
        </w:rPr>
        <w:t>Das duas saídas, aprender sozinho corresponde a um dos componentes da categoria, enquanto ensinar apenas o que já domina só conta quando o relato associa essa restrição à falta de formação, uma vez que ela também pode resultar de escolha pedagógica. A simples existência de formação, por sua vez, não afasta a ausência. Valente (1999, p. 113) lembra: “Embora a formação do professor seja um dos fatores importantes dessa mudança, ela não pode ser vista como o único fator desencadeador de mudança da escola”. Pelos critérios metodológicos que sustentarão a categoria analítica, apresentados no Capítulo 4, a formação deixa de ser condição ausente apenas quando chegou antes da exigência, alcançou a profissional na função e na etapa em que atua e tratou dos conteúdos que ela precisou buscar sozinha. Se o profissional relatar a insuficiência de uma formação com essas características para o trabalho com a turma, o relato é registrado e comparado com os registros de formação. A formação não constitui objeto próprio desta investigação, pois examinamos as condições oferecidas pela política e a correspondência entre o oferecido e o exigido, sem avaliar o saber dos profissionais.</w:t>
      </w:r>
    </w:p>
    <w:p>
      <w:pPr>
        <w:spacing w:line="360" w:lineRule="auto"/>
        <w:ind w:firstLine="709"/>
        <w:jc w:val="both"/>
      </w:pPr>
      <w:r>
        <w:rPr>
          <w:rFonts w:ascii="Times New Roman" w:hAnsi="Times New Roman"/>
          <w:sz w:val="24"/>
        </w:rPr>
        <w:t>Esse deslocamento da decisão precisa de nome por suas consequências. Quando a realização de um direito depende do que cada profissional consegue mobilizar, a política passa a existir na medida dos recursos, do conhecimento e do tempo de quem está na ponta, e as respostas tendem a variar de uma turma para outra e a reduzir o eixo ao que cabe nos meios e no repertório disponíveis. Para os profissionais da educação, o custo recai sobre o tempo e os recursos pessoais, em uma jornada já estendida para além da escola, como mostram os dados reunidos por Queiroz e Paiva (2014). Há também o risco de soluções improvisadas contrariarem a proteção pretendida pela própria lei, como quando aparelhos e aplicativos pessoais entram no trabalho com crianças sem os cuidados exigidos pelos direitos digitais. A substituição tem, ainda, um efeito menos visível, pois, ao cobrir a lacuna, faz parecer que a política está em curso, esconde a falta dos meios devidos e enfraquece o sinal da necessidade de ação do poder público. Trata-se da distorção do serviço ideal apontada por Lipsky, a qual, no caso da PNED, atinge a “participação consciente e democrática por meio das tecnologias digitais” e a proteção dos dados das crianças prometidas pela lei (BRASIL, 2023a, art. 3º, III e IV).</w:t>
      </w:r>
    </w:p>
    <w:p>
      <w:pPr>
        <w:spacing w:line="360" w:lineRule="auto"/>
        <w:ind w:firstLine="709"/>
        <w:jc w:val="both"/>
      </w:pPr>
      <w:r>
        <w:rPr>
          <w:rFonts w:ascii="Times New Roman" w:hAnsi="Times New Roman"/>
          <w:sz w:val="24"/>
        </w:rPr>
        <w:t>Esses riscos nascem de um desenho no qual se transfere aos profissionais uma tarefa sem os meios correspondentes e, por isso, não podem ser tratados como falha individual. Freire (2019, p. 64-65) lembra: “O professor tem o dever de dar suas aulas, de realizar sua tarefa docente. Para isso, precisa de condições favoráveis, higiênicas, espaciais, estéticas, sem as quais se move menos eficazmente no espaço pedagógico. Às vezes, as condições são de tal maneira perversas que nem se move”. Bauman, em escala mais ampla, descreve a mesma inversão ao afirmar: “Riscos e contradições continuam a ser socialmente produzidos; são apenas o dever e a necessidade de enfrentá-los que estão sendo individualizados” (BAUMAN, 2001). Nenhum dos dois autores trata da PNED; a relação com o caso é construída por esta tese. Quando um profissional retira do próprio tempo e dos próprios recursos o que a política prometeu, tratamos isso como custo, e esse custo atinge também a turma, que passa a receber menos do que a lei assegura sem uma decisão explícita de alguém nesse sentido. Por enquanto, esses efeitos são riscos, e o campo mostrará quais deles se confirmam.</w:t>
      </w:r>
    </w:p>
    <w:p>
      <w:pPr>
        <w:spacing w:line="360" w:lineRule="auto"/>
        <w:ind w:firstLine="709"/>
        <w:jc w:val="both"/>
      </w:pPr>
      <w:r>
        <w:rPr>
          <w:rFonts w:ascii="Times New Roman" w:hAnsi="Times New Roman"/>
          <w:b/>
          <w:sz w:val="24"/>
          <w:highlight w:val="yellow"/>
        </w:rPr>
        <w:t xml:space="preserve">[NOTA DA REVISÃO] </w:t>
      </w:r>
      <w:r>
        <w:rPr>
          <w:rFonts w:ascii="Times New Roman" w:hAnsi="Times New Roman"/>
          <w:i/>
          <w:sz w:val="24"/>
          <w:highlight w:val="yellow"/>
        </w:rPr>
        <w:t>A citação de Bauman (2001) é direta e está sem página. Indicar a página e incluir a obra na lista de referências (provavelmente Modernidade líquida; conferir).</w:t>
      </w:r>
    </w:p>
    <w:p>
      <w:pPr>
        <w:spacing w:line="360" w:lineRule="auto"/>
        <w:ind w:firstLine="709"/>
        <w:jc w:val="both"/>
      </w:pPr>
      <w:r>
        <w:rPr>
          <w:rFonts w:ascii="Times New Roman" w:hAnsi="Times New Roman"/>
          <w:sz w:val="24"/>
        </w:rPr>
        <w:t xml:space="preserve">A categoria não opera sozinha na tese. Ela integra um conjunto de três formulações analíticas, ao lado do habitar digital e da rugosidade tecnológica, construídas a partir das condições documentadas no Capítulo 6. Habitar digital nomeia a desigualdade interna ao território, onde alta densidade tecnológica e baixa disponibilidade institucional convivem e alcançam a experiência escolar. Rugosidade tecnológica refere-se às estruturas deixadas por iniciativas anteriores à política vigente, ainda presentes na escola mesmo quando as funções responsáveis por sua origem já perderam força. Santos (2012, p. 74-75) observa: “Uma vez criada e usada na execução da função que lhe foi designada, a forma freqüentemente permanece aguardando o próximo movimento dinâmico da sociedade, quando terá toda a probabilidade de ser chamada a cumprir uma nova função”. E acrescenta: “As rugosidades – formas remanescentes dos períodos anteriores – devem ser levadas em conta quando uma sociedade procura impor novas funções” (SANTOS, 2012, p. 75). O laboratório da escola de Pipa, segundo informações </w:t>
      </w:r>
      <w:r>
        <w:rPr>
          <w:rFonts w:ascii="Times New Roman" w:hAnsi="Times New Roman"/>
          <w:sz w:val="24"/>
          <w:highlight w:val="yellow"/>
        </w:rPr>
        <w:t xml:space="preserve">preliminares </w:t>
      </w:r>
      <w:r>
        <w:rPr>
          <w:rFonts w:ascii="Times New Roman" w:hAnsi="Times New Roman"/>
          <w:sz w:val="24"/>
        </w:rPr>
        <w:t>montado pela Prefeitura em 2022, é um exemplo, pois a PNED impõe uma nova função a uma escola onde permanecem equipamentos de uma iniciativa anterior a ela.</w:t>
      </w:r>
    </w:p>
    <w:p>
      <w:pPr>
        <w:spacing w:line="360" w:lineRule="auto"/>
        <w:ind w:firstLine="709"/>
        <w:jc w:val="both"/>
      </w:pPr>
      <w:r>
        <w:rPr>
          <w:rFonts w:ascii="Times New Roman" w:hAnsi="Times New Roman"/>
          <w:sz w:val="24"/>
        </w:rPr>
        <w:t>As três formulações, porém, não têm o mesmo estatuto. Habitar digital e rugosidade tecnológica dizem respeito a condições identificadas no contexto empírico e documentadas pelo registro iconográfico e pelo acervo histórico, enquanto a discricionariedade substitutiva é uma proposição sobre a ação profissional, passível de confirmação, delimitação, renomeação ou recusa pelo campo, e a única, de fato, em jogo nas entrevistas. As três ajudam a responder à mesma pergunta, ou seja, como a política ganha forma quando encontra um território de trajetórias desiguais, uma rotina de trabalho já ocupada e condições materiais aquém do anunciado. O que os profissionais fazem com essa distância, somente as entrevistas poderão mostrar.</w:t>
      </w:r>
    </w:p>
    <w:p>
      <w:pPr>
        <w:spacing w:line="360" w:lineRule="auto"/>
        <w:ind w:firstLine="709"/>
        <w:jc w:val="both"/>
      </w:pPr>
      <w:r>
        <w:rPr>
          <w:rFonts w:ascii="Times New Roman" w:hAnsi="Times New Roman"/>
          <w:sz w:val="24"/>
        </w:rPr>
        <w:t>O objeto também é inédito, pela novidade da norma e pelo recorte, conforme a lacuna identificada pela RSL e descrita na seção 1.2.</w:t>
      </w:r>
    </w:p>
    <w:p>
      <w:pPr>
        <w:spacing w:line="360" w:lineRule="auto"/>
        <w:ind w:firstLine="709"/>
        <w:jc w:val="both"/>
      </w:pPr>
      <w:r>
        <w:rPr>
          <w:rFonts w:ascii="Times New Roman" w:hAnsi="Times New Roman"/>
          <w:sz w:val="24"/>
        </w:rPr>
        <w:t>Nossa análise se concentra em quem faz a mediação da política e nas condições institucionais de seu trabalho. Ficam de fora o cumprimento integral da PNED e seus efeitos sobre a aprendizagem, questões dependentes de outros desenhos de pesquisa e de mais tempo de acompanhamento. As crianças não participam da produção de dados, e suas experiências digitais entram na investigação como parte das condições encontradas pelos profissionais no cotidiano escolar.</w:t>
      </w:r>
    </w:p>
    <w:p>
      <w:pPr>
        <w:spacing w:line="360" w:lineRule="auto" w:before="240" w:after="240"/>
      </w:pPr>
      <w:r>
        <w:rPr>
          <w:rFonts w:ascii="Times New Roman" w:hAnsi="Times New Roman"/>
          <w:b/>
          <w:sz w:val="24"/>
        </w:rPr>
        <w:t>1.5 ARQUITETURA DA TESE</w:t>
      </w:r>
    </w:p>
    <w:p>
      <w:pPr>
        <w:spacing w:line="360" w:lineRule="auto"/>
        <w:ind w:firstLine="709"/>
        <w:jc w:val="both"/>
      </w:pPr>
      <w:r>
        <w:rPr>
          <w:rFonts w:ascii="Times New Roman" w:hAnsi="Times New Roman"/>
          <w:sz w:val="24"/>
        </w:rPr>
        <w:t>A tese está organizada em oito capítulos, articulados à questão norteadora, aos objetivos e à contribuição apresentados nesta introdução. Os Capítulos 5, 6 e 7 respondem, respectivamente, aos objetivos específicos a, b e c; os anteriores constroem as condições para respondê-los. O Quadro 9, no Capítulo 4, detalha a correspondência entre objetivos, fontes e capítulos.</w:t>
      </w:r>
    </w:p>
    <w:p>
      <w:pPr>
        <w:spacing w:line="360" w:lineRule="auto"/>
        <w:ind w:firstLine="709"/>
        <w:jc w:val="both"/>
      </w:pPr>
      <w:r>
        <w:rPr>
          <w:rFonts w:ascii="Times New Roman" w:hAnsi="Times New Roman"/>
          <w:sz w:val="24"/>
        </w:rPr>
        <w:t>No primeiro capítulo, esta introdução, apresentamos o objeto, o problema, a questão norteadora, os objetivos, a proposição e a contribuição esperada.</w:t>
      </w:r>
    </w:p>
    <w:p>
      <w:pPr>
        <w:spacing w:line="360" w:lineRule="auto"/>
        <w:ind w:firstLine="709"/>
        <w:jc w:val="both"/>
      </w:pPr>
      <w:r>
        <w:rPr>
          <w:rFonts w:ascii="Times New Roman" w:hAnsi="Times New Roman"/>
          <w:sz w:val="24"/>
        </w:rPr>
        <w:t>No segundo capítulo, “Entre a norma e o uso: o que a produção científica evidencia sobre a implementação da educação digital nos anos iniciais”, apresentamos a revisão sistemática da produção científica sobre o tema, conduzida segundo a declaração PRISMA 2020 (PAGE et al., 2022). O capítulo responde à questão da revisão e localiza a lacuna ocupada pela tese, descrita na seção 1.2.</w:t>
      </w:r>
    </w:p>
    <w:p>
      <w:pPr>
        <w:spacing w:line="360" w:lineRule="auto"/>
        <w:ind w:firstLine="709"/>
        <w:jc w:val="both"/>
      </w:pPr>
      <w:r>
        <w:rPr>
          <w:rFonts w:ascii="Times New Roman" w:hAnsi="Times New Roman"/>
          <w:sz w:val="24"/>
        </w:rPr>
        <w:t>No terceiro capítulo,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e a relação entre educação digital e profissionais da educação. Nele, o tempo, dimensão na qual se paga o custo da substituição, recebe tratamento teórico, e o ambiente de plataformização em que a PNED surge é discutido.</w:t>
      </w:r>
    </w:p>
    <w:p>
      <w:pPr>
        <w:spacing w:line="360" w:lineRule="auto"/>
        <w:ind w:firstLine="709"/>
        <w:jc w:val="both"/>
      </w:pPr>
      <w:r>
        <w:rPr>
          <w:rFonts w:ascii="Times New Roman" w:hAnsi="Times New Roman"/>
          <w:sz w:val="24"/>
        </w:rPr>
        <w:t>No quarto capítulo, “Como se escuta uma política: o desenho metodológico do estudo de caso em Tibau do Sul/RN”, apresentamos o desenho da pesquisa. Mostramos onde os referenciais deixam de cobrir o caso, justificamos o recorte, relacionamos cada objetivo específico às fontes e aos capítulos correspondentes e fixamos, antes das entrevistas, os critérios metodológicos que sustentarão a categoria analítica, com as condições de confirmação, delimitação, renomeação ou recusa da discricionariedade substitutiva. Apresentamos, ainda, os instrumentos, ajustados para esse exame, os procedimentos de análise e os cuidados éticos.</w:t>
      </w:r>
    </w:p>
    <w:p>
      <w:pPr>
        <w:spacing w:line="360" w:lineRule="auto"/>
        <w:ind w:firstLine="709"/>
        <w:jc w:val="both"/>
      </w:pPr>
      <w:r>
        <w:rPr>
          <w:rFonts w:ascii="Times New Roman" w:hAnsi="Times New Roman"/>
          <w:sz w:val="24"/>
        </w:rPr>
        <w:t>O quinto capítulo, “A produção do texto da política: da agenda internacional à PNED”, responde ao objetivo específico a e mostra o que a política promete e com que meios, percorrendo os referenciais internacionais, experiências de outros países, a trajetória das políticas brasileiras e a formulação da PNED. Nele, documentamos a escolha responsável pela lacuna, isto é, uma política de articulação, sem fundo próprio, na qual cabe às redes e às escolas a tarefa de prover as condições, resultado nomeado como vazio material.</w:t>
      </w:r>
    </w:p>
    <w:p>
      <w:pPr>
        <w:spacing w:line="360" w:lineRule="auto"/>
        <w:ind w:firstLine="709"/>
        <w:jc w:val="both"/>
      </w:pPr>
      <w:r>
        <w:rPr>
          <w:rFonts w:ascii="Times New Roman" w:hAnsi="Times New Roman"/>
          <w:sz w:val="24"/>
        </w:rPr>
        <w:t>No sexto capítulo, “Onde a política desembarca: o território de Pipa como contexto da prática da educação digital”, respondemos ao objetivo específico b e apresentamos as condições de recepção da política: a história e as transformações do distrito, a diversidade de quem a escola atende e as condições materiais da escola, onde documentamos o habitar digital e a rugosidade tecnológica.</w:t>
      </w:r>
    </w:p>
    <w:p>
      <w:pPr>
        <w:spacing w:line="360" w:lineRule="auto"/>
        <w:ind w:firstLine="709"/>
        <w:jc w:val="both"/>
      </w:pPr>
      <w:r>
        <w:rPr>
          <w:rFonts w:ascii="Times New Roman" w:hAnsi="Times New Roman"/>
          <w:sz w:val="24"/>
        </w:rPr>
        <w:t>No sétimo capítulo, “A PNED no contexto da prática: narrativas dos profissionais da educação”, respondemos ao objetivo específico c. Analisamos as respostas dos profissionais à distância entre a promessa da política e as condições encontradas, submetendo a discricionariedade substitutiva às narrativas, com os critérios definidos no Capítulo 4.</w:t>
      </w:r>
    </w:p>
    <w:p>
      <w:pPr>
        <w:spacing w:line="360" w:lineRule="auto"/>
        <w:ind w:firstLine="709"/>
        <w:jc w:val="both"/>
      </w:pPr>
      <w:r>
        <w:rPr>
          <w:rFonts w:ascii="Times New Roman" w:hAnsi="Times New Roman"/>
          <w:sz w:val="24"/>
        </w:rPr>
        <w:t>Por fim,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ind w:firstLine="709"/>
        <w:jc w:val="both"/>
      </w:pPr>
      <w:r>
        <w:rPr>
          <w:rFonts w:ascii="Times New Roman" w:hAnsi="Times New Roman"/>
          <w:strike/>
          <w:sz w:val="24"/>
          <w:highlight w:val="yellow"/>
        </w:rPr>
        <w:t>Diante do exposto, sustentamos</w:t>
      </w:r>
      <w:r>
        <w:rPr>
          <w:rFonts w:ascii="Times New Roman" w:hAnsi="Times New Roman"/>
          <w:sz w:val="24"/>
          <w:highlight w:val="yellow"/>
        </w:rPr>
        <w:t>Sustentamos</w:t>
      </w:r>
      <w:r>
        <w:rPr>
          <w:rFonts w:ascii="Times New Roman" w:hAnsi="Times New Roman"/>
          <w:sz w:val="24"/>
        </w:rPr>
        <w:t xml:space="preserve"> que a PNED fez da educação digital um direito e um dever do Estado e deixou a chegada dos meios à escola a cargo do que cada ente consegue prover. As narrativas dos profissionais dirão se, na escola de Pipa, esse desenho mudou a natureza da decisão profissional, como propomos, ou se a proposição precisa ser delimitada, renomeada ou recusada. Em qualquer caso, permanece a pergunta sobre quem arca com a falta de meios, pergunta importante por envolver sujeitos concretos: doze profissionais da educação e as crianças de 1º e 2º anos de uma escola pública de Pipa.</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w:t>
      </w:r>
    </w:p>
    <w:p>
      <w:pPr>
        <w:spacing w:line="240" w:lineRule="auto" w:after="240"/>
        <w:jc w:val="left"/>
      </w:pPr>
      <w:r>
        <w:rPr>
          <w:rFonts w:ascii="Times New Roman" w:hAnsi="Times New Roman"/>
          <w:sz w:val="24"/>
        </w:rPr>
        <w:t>BAUMAN, Zygmunt. Globalização: as consequências humanas. Rio de Janeiro: Jorge Zahar, 1999.</w:t>
      </w:r>
    </w:p>
    <w:p>
      <w:pPr>
        <w:spacing w:line="360" w:lineRule="auto"/>
        <w:ind w:firstLine="709"/>
        <w:jc w:val="both"/>
      </w:pPr>
      <w:r>
        <w:rPr>
          <w:rFonts w:ascii="Times New Roman" w:hAnsi="Times New Roman"/>
          <w:sz w:val="24"/>
          <w:highlight w:val="yellow"/>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360" w:lineRule="auto"/>
        <w:ind w:firstLine="709"/>
        <w:jc w:val="both"/>
      </w:pPr>
      <w:r>
        <w:rPr>
          <w:rFonts w:ascii="Times New Roman" w:hAnsi="Times New Roman"/>
          <w:sz w:val="24"/>
          <w:highlight w:val="yellow"/>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(LDB). Brasília, DF: Diário Oficial da União, 1996.</w:t>
      </w:r>
    </w:p>
    <w:p>
      <w:pPr>
        <w:spacing w:line="240" w:lineRule="auto" w:after="240"/>
        <w:jc w:val="left"/>
      </w:pPr>
      <w:r>
        <w:rPr>
          <w:rFonts w:ascii="Times New Roman" w:hAnsi="Times New Roman"/>
          <w:sz w:val="24"/>
        </w:rPr>
        <w:t>BRASIL. Lei nº 14.533, de 11 de janeiro de 2023. Institui a Política Nacional de Educação Digital (PNED). Brasília, DF: Diário Oficial da União, 2023a.</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2025a.</w:t>
      </w:r>
    </w:p>
    <w:p>
      <w:pPr>
        <w:spacing w:line="240" w:lineRule="auto" w:after="240"/>
        <w:jc w:val="left"/>
      </w:pPr>
      <w:r>
        <w:rPr>
          <w:rFonts w:ascii="Times New Roman" w:hAnsi="Times New Roman"/>
          <w:sz w:val="24"/>
        </w:rPr>
        <w:t>BRASIL. Lei nº 15.211, de 17 de setembro de 2025. Dispõe sobre a proteção de crianças e adolescentes em ambientes digitais (Estatuto Digital da Criança e do Adolescente). Brasília, DF: Diário Oficial da União, 2025c.</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BUCKINGHAM, David. Crescer na era das mídias eletrônicas. Tradução de Gilka Girardello e Isabel Orofino. São Paulo: Loyola, 2007.</w:t>
      </w:r>
    </w:p>
    <w:p>
      <w:pPr>
        <w:spacing w:line="360" w:lineRule="auto"/>
        <w:ind w:firstLine="709"/>
        <w:jc w:val="both"/>
      </w:pPr>
      <w:r>
        <w:rPr>
          <w:rFonts w:ascii="Times New Roman" w:hAnsi="Times New Roman"/>
          <w:b/>
          <w:sz w:val="24"/>
          <w:highlight w:val="yellow"/>
        </w:rPr>
        <w:t xml:space="preserve">[NOTA DA REVISÃO] </w:t>
      </w:r>
      <w:r>
        <w:rPr>
          <w:rFonts w:ascii="Times New Roman" w:hAnsi="Times New Roman"/>
          <w:i/>
          <w:sz w:val="24"/>
          <w:highlight w:val="yellow"/>
        </w:rPr>
        <w:t>Buckingham é citado no texto como 2006 e aqui consta como 2007 (Loyola); no Capítulo 2 aparece como 2006 (Florianópolis, [s. n.]). Unificar a edição.</w:t>
      </w:r>
    </w:p>
    <w:p>
      <w:pPr>
        <w:spacing w:line="240" w:lineRule="auto" w:after="240"/>
        <w:jc w:val="left"/>
      </w:pPr>
      <w:r>
        <w:rPr>
          <w:rFonts w:ascii="Times New Roman" w:hAnsi="Times New Roman"/>
          <w:sz w:val="24"/>
        </w:rPr>
        <w:t>CASTELLS, Manuel. A sociedade em rede. A era da informação: economia, sociedade e cultura, v. 1. 14. ed. São Paulo: Paz e Terra, 2013.</w:t>
      </w:r>
    </w:p>
    <w:p>
      <w:pPr>
        <w:spacing w:line="240" w:lineRule="auto" w:after="240"/>
        <w:jc w:val="left"/>
      </w:pPr>
      <w:r>
        <w:rPr>
          <w:rFonts w:ascii="Times New Roman" w:hAnsi="Times New Roman"/>
          <w:sz w:val="24"/>
        </w:rPr>
        <w:t>CGI.BR. Pesquisa sobre o uso das tecnologias de informação e comunicação nas escolas brasileiras: TIC Educação 2024. São Paulo: Comitê Gestor da Internet no Brasil, 2025a. CGI.BR. Pesquisa sobre o uso das tecnologias de informação e comunicação nos domicílios brasileiros: TIC Domicílios 2024. São Paulo: Comitê Gestor da Internet no Brasil, 2025b.</w:t>
      </w:r>
    </w:p>
    <w:p>
      <w:pPr>
        <w:spacing w:line="240" w:lineRule="auto" w:after="240"/>
        <w:jc w:val="left"/>
      </w:pPr>
      <w:r>
        <w:rPr>
          <w:rFonts w:ascii="Times New Roman" w:hAnsi="Times New Roman"/>
          <w:sz w:val="24"/>
        </w:rPr>
        <w:t xml:space="preserve">FREIRE, Paulo. Pedagogia da autonomia: saberes necessários à prática educativa. </w:t>
      </w:r>
      <w:r>
        <w:rPr>
          <w:rFonts w:ascii="Times New Roman" w:hAnsi="Times New Roman"/>
          <w:strike/>
          <w:sz w:val="24"/>
          <w:highlight w:val="yellow"/>
        </w:rPr>
        <w:t>São Paulo: Paz e Terra, 1996</w:t>
      </w:r>
      <w:r>
        <w:rPr>
          <w:rFonts w:ascii="Times New Roman" w:hAnsi="Times New Roman"/>
          <w:sz w:val="24"/>
          <w:highlight w:val="yellow"/>
        </w:rPr>
        <w:t>60. ed. Rio de Janeiro: Paz e Terra, 2019</w:t>
      </w:r>
      <w:r>
        <w:rPr>
          <w:rFonts w:ascii="Times New Roman" w:hAnsi="Times New Roman"/>
          <w:sz w:val="24"/>
        </w:rPr>
        <w:t>.</w:t>
      </w:r>
    </w:p>
    <w:p>
      <w:pPr>
        <w:spacing w:line="240" w:lineRule="auto" w:after="240"/>
        <w:jc w:val="left"/>
      </w:pPr>
      <w:r>
        <w:rPr>
          <w:rFonts w:ascii="Times New Roman" w:hAnsi="Times New Roman"/>
          <w:sz w:val="24"/>
        </w:rPr>
        <w:t>HALL, Stuart. A identidade cultural na pós-modernidade. 11. ed. Rio de Janeiro: DP&amp;A, 2006.</w:t>
      </w:r>
    </w:p>
    <w:p>
      <w:pPr>
        <w:spacing w:line="240" w:lineRule="auto" w:after="240"/>
        <w:jc w:val="left"/>
      </w:pPr>
      <w:r>
        <w:rPr>
          <w:rFonts w:ascii="Times New Roman" w:hAnsi="Times New Roman"/>
          <w:sz w:val="24"/>
        </w:rPr>
        <w:t>KITCHENHAM, Barbara; CHARTERS, Stuart. Guidelines for performing systematic literature reviews in software engineering. Version 2.3. Keele: Keele University; Durham: University of Durham, 2007.</w:t>
      </w:r>
    </w:p>
    <w:p>
      <w:pPr>
        <w:spacing w:line="240" w:lineRule="auto" w:after="240"/>
        <w:jc w:val="left"/>
      </w:pPr>
      <w:r>
        <w:rPr>
          <w:rFonts w:ascii="Times New Roman" w:hAnsi="Times New Roman"/>
          <w:sz w:val="24"/>
        </w:rPr>
        <w:t>LIMA, Licínio C. A “escola” como categoria na pesquisa em educação. Educação Unisinos, São Leopoldo, v. 12, n. 2, p. 82-88, maio/ago. 2008.</w:t>
      </w:r>
    </w:p>
    <w:p>
      <w:pPr>
        <w:spacing w:line="240" w:lineRule="auto" w:after="240"/>
        <w:jc w:val="left"/>
      </w:pPr>
      <w:r>
        <w:rPr>
          <w:rFonts w:ascii="Times New Roman" w:hAnsi="Times New Roman"/>
          <w:sz w:val="24"/>
        </w:rPr>
        <w:t>LIPSKY, Michael. Burocracia de nível de rua: dilemas do indivíduo nos serviços públicos. Brasília, DF: ENAP, 2019.</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MASSEY, Doreen. Pelo espaço: uma nova política da espacialidade. Rio de Janeiro: Bertrand Brasil, 2008.</w:t>
      </w:r>
    </w:p>
    <w:p>
      <w:pPr>
        <w:spacing w:line="240" w:lineRule="auto" w:after="240"/>
        <w:jc w:val="left"/>
      </w:pPr>
      <w:r>
        <w:rPr>
          <w:rFonts w:ascii="Times New Roman" w:hAnsi="Times New Roman"/>
          <w:sz w:val="24"/>
        </w:rPr>
        <w:t>MOROZOV, Evgeny. Big Tech: a ascensão dos dados e a morte da política. São Paulo: Ubu Editora, 2018.</w:t>
      </w:r>
    </w:p>
    <w:p>
      <w:pPr>
        <w:spacing w:line="240" w:lineRule="auto" w:after="240"/>
        <w:jc w:val="left"/>
      </w:pPr>
      <w:r>
        <w:rPr>
          <w:rFonts w:ascii="Times New Roman" w:hAnsi="Times New Roman"/>
          <w:sz w:val="24"/>
        </w:rPr>
        <w:t>OKOLI, Chitu. Guia para realizar uma revisão sistemática da literatura. Tradução de David Wesley Amado Duarte; revisão técnica de João Mattar. EaD em Foco, v. 9, n. 1, e748, 2019. DOI: https://doi.org/10.18264/eadf.v9i1.748.</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240" w:lineRule="auto" w:after="240"/>
        <w:jc w:val="left"/>
      </w:pPr>
      <w:r>
        <w:rPr>
          <w:rFonts w:ascii="Times New Roman" w:hAnsi="Times New Roman"/>
          <w:sz w:val="24"/>
        </w:rPr>
        <w:t>PAGE, Matthew J. et al. A declaração PRISMA 2020: diretriz atualizada para relatar revisões sistemáticas. Epidemiologia e Serviços de Saúde, Brasília, v. 31, n. 2, e2022107, 2022. DOI: https://doi.org/10.1590/S1679-49742022000200033.</w:t>
      </w:r>
    </w:p>
    <w:p>
      <w:pPr>
        <w:spacing w:line="240" w:lineRule="auto" w:after="240"/>
        <w:jc w:val="left"/>
      </w:pPr>
      <w:r>
        <w:rPr>
          <w:rFonts w:ascii="Times New Roman" w:hAnsi="Times New Roman"/>
          <w:sz w:val="24"/>
        </w:rPr>
        <w:t>PRENSKY, Marc. Digital natives, digital immigrants. On the Horizon, v. 9, n. 5, p. 1-6, 2001. DOI: https://doi.org/10.1108/10748120110424816. 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ROJO, Roxane (org.). Escol@ conectada: os multiletramentos e as TICs. São Paulo: Parábola, 2013.</w:t>
      </w:r>
    </w:p>
    <w:p>
      <w:pPr>
        <w:spacing w:line="360" w:lineRule="auto"/>
        <w:ind w:firstLine="709"/>
        <w:jc w:val="both"/>
      </w:pPr>
      <w:r>
        <w:rPr>
          <w:rFonts w:ascii="Times New Roman" w:hAnsi="Times New Roman"/>
          <w:sz w:val="24"/>
          <w:highlight w:val="yellow"/>
        </w:rPr>
        <w:t>SANTOS, Milton. O território e o saber local: algumas categorias de análise. Cadernos IPPUR, Rio de Janeiro, ano 13, n. 2, p. 15-26, ago./dez. 1999.</w:t>
      </w:r>
    </w:p>
    <w:p>
      <w:pPr>
        <w:spacing w:line="360" w:lineRule="auto"/>
        <w:ind w:firstLine="709"/>
        <w:jc w:val="both"/>
      </w:pPr>
      <w:r>
        <w:rPr>
          <w:rFonts w:ascii="Times New Roman" w:hAnsi="Times New Roman"/>
          <w:sz w:val="24"/>
          <w:highlight w:val="yellow"/>
        </w:rPr>
        <w:t>SANTOS, Milton. Espaço e método. 5. ed., 1. reimpr. São Paulo: Editora da Universidade de São Paulo, 2012.</w:t>
      </w:r>
    </w:p>
    <w:p>
      <w:pPr>
        <w:spacing w:line="360" w:lineRule="auto"/>
        <w:ind w:firstLine="709"/>
        <w:jc w:val="both"/>
      </w:pPr>
      <w:r>
        <w:rPr>
          <w:rFonts w:ascii="Times New Roman" w:hAnsi="Times New Roman"/>
          <w:b/>
          <w:sz w:val="24"/>
          <w:highlight w:val="yellow"/>
        </w:rPr>
        <w:t xml:space="preserve">[NOTA DA REVISÃO] </w:t>
      </w:r>
      <w:r>
        <w:rPr>
          <w:rFonts w:ascii="Times New Roman" w:hAnsi="Times New Roman"/>
          <w:i/>
          <w:sz w:val="24"/>
          <w:highlight w:val="yellow"/>
        </w:rPr>
        <w:t>A obra de Santos de 2006 (A natureza do espaço) não é citada na Introdução; as citadas são 1999 e 2012, acrescentadas acima com os dados que constam nos Capítulos 4 e 6. Também não são citados na Introdução: BALL (2004), KITCHENHAM e CHARTERS (2007), OKOLI (2019), THOMAS e HARDEN (2008) e ANDRÉ (2005); verificar se devem permanecer na lista.</w:t>
      </w:r>
    </w:p>
    <w:p>
      <w:pPr>
        <w:spacing w:line="240" w:lineRule="auto" w:after="240"/>
        <w:jc w:val="left"/>
      </w:pPr>
      <w:r>
        <w:rPr>
          <w:rFonts w:ascii="Times New Roman" w:hAnsi="Times New Roman"/>
          <w:sz w:val="24"/>
        </w:rPr>
        <w:t>SANTOS, Milton. A natureza do espaço: técnica e tempo, razão e emoção. 4. ed. São Paulo: Edusp, 2006.</w:t>
      </w:r>
    </w:p>
    <w:p>
      <w:pPr>
        <w:spacing w:line="240" w:lineRule="auto" w:after="240"/>
        <w:jc w:val="left"/>
      </w:pPr>
      <w:r>
        <w:rPr>
          <w:rFonts w:ascii="Times New Roman" w:hAnsi="Times New Roman"/>
          <w:sz w:val="24"/>
        </w:rPr>
        <w:t>THOMAS, James; HARDEN, Angela. Methods for the thematic synthesis of qualitative research in systematic reviews. BMC Medical Research Methodology, v. 8, art. 45, 2008. DOI: https://doi.org/10.1186/1471-2288-8-45.</w:t>
      </w:r>
    </w:p>
    <w:p>
      <w:pPr>
        <w:spacing w:line="240" w:lineRule="auto" w:after="240"/>
        <w:jc w:val="left"/>
      </w:pPr>
      <w:r>
        <w:rPr>
          <w:rFonts w:ascii="Times New Roman" w:hAnsi="Times New Roman"/>
          <w:sz w:val="24"/>
        </w:rPr>
        <w:t>VALENTE, José Armando. O computador na sociedade do conhecimento. 3. ed. Campinas: NIED/Unicamp, 2019.</w:t>
      </w:r>
    </w:p>
    <w:p>
      <w:pPr>
        <w:spacing w:line="360" w:lineRule="auto"/>
        <w:ind w:firstLine="709"/>
        <w:jc w:val="both"/>
      </w:pPr>
      <w:r>
        <w:rPr>
          <w:rFonts w:ascii="Times New Roman" w:hAnsi="Times New Roman"/>
          <w:b/>
          <w:sz w:val="24"/>
          <w:highlight w:val="yellow"/>
        </w:rPr>
        <w:t xml:space="preserve">[NOTA DA REVISÃO] </w:t>
      </w:r>
      <w:r>
        <w:rPr>
          <w:rFonts w:ascii="Times New Roman" w:hAnsi="Times New Roman"/>
          <w:i/>
          <w:sz w:val="24"/>
          <w:highlight w:val="yellow"/>
        </w:rPr>
        <w:t>Valente é citado como 1999 no texto (aqui e no Capítulo 6), mas a referência traz 3. ed., 2019. Unificar: se a edição consultada for a de 2019, ajustar todas as chamadas para 2019; se for a de 1999, ajustar a referência.</w:t>
      </w:r>
    </w:p>
    <w:p>
      <w:pPr>
        <w:spacing w:line="240" w:lineRule="auto" w:after="240"/>
        <w:jc w:val="left"/>
      </w:pPr>
      <w:r>
        <w:rPr>
          <w:rFonts w:ascii="Times New Roman" w:hAnsi="Times New Roman"/>
          <w:sz w:val="24"/>
        </w:rPr>
        <w:t>YIN, Robert K. Estudo de caso: planejamento e métodos. 2. ed. Porto Alegre: Bookman, 2001.</w:t>
      </w:r>
    </w:p>
    <w:p>
      <w:pPr>
        <w:spacing w:line="240" w:lineRule="auto" w:after="240"/>
        <w:jc w:val="left"/>
      </w:pPr>
      <w:r>
        <w:rPr>
          <w:rFonts w:ascii="Times New Roman" w:hAnsi="Times New Roman"/>
          <w:sz w:val="24"/>
        </w:rPr>
        <w:t>ZUBOFF, Shoshana. A era do capitalismo de vigilância: a luta por um futuro humano na nova fronteira do poder. Tradução de George Schlesinger. Rio de Janeiro: Intrínseca, 2021.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