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pPr>
        <w:spacing w:after="0" w:before="0" w:lineRule="auto"/>
        <w:ind w:firstLine="700"/>
        <w:jc w:val="both"/>
        <w:rPr/>
      </w:pPr>
      <w:r>
        <w:rPr>
          <w:b/>
          <w:highlight w:val="yellow"/>
          <w:rtl w:val="0"/>
        </w:rPr>
        <w:t xml:space="preserve">[NOTA DA REVISÃO] </w:t>
      </w:r>
      <w:r>
        <w:rPr>
          <w:i/>
          <w:highlight w:val="yellow"/>
          <w:rtl w:val="0"/>
        </w:rPr>
        <w:t xml:space="preserve">Legenda desta revisão: trechos em amarelo são texto novo ou reescrito; trechos em amarelo e tachados devem ser excluídos; parágrafos iniciados por [EXCLUIR] saem por inteiro; as notas como esta orientam ajustes que dependem de decisão ou conferência da autora.</w:t>
      </w:r>
    </w:p>
    <w:p>
      <w:pPr>
        <w:spacing w:after="0" w:before="0" w:lineRule="auto"/>
        <w:ind w:firstLine="700"/>
        <w:jc w:val="both"/>
        <w:rPr/>
      </w:pPr>
      <w:r>
        <w:rPr>
          <w:b/>
          <w:highlight w:val="yellow"/>
          <w:rtl w:val="0"/>
        </w:rPr>
        <w:t xml:space="preserve">[NOTA DA REVISÃO] </w:t>
      </w:r>
      <w:r>
        <w:rPr>
          <w:i/>
          <w:highlight w:val="yellow"/>
          <w:rtl w:val="0"/>
        </w:rPr>
        <w:t xml:space="preserve">As notas de avaliação coladas no início do capítulo (marcas estilísticas, repetições, ineditismo, estudos brasileiros) foram marcadas para exclusão. Conferi os pontos levantados: a ressalva de escopo sobre a alfabetização e a reiteração de “não buscar modelos” já não aparecem repetidas no corpo do capítulo; a repetição literal das subperguntas no Apêndice C é declarada como deliberada e pode permanecer.</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4">
      <w:pPr>
        <w:numPr>
          <w:ilvl w:val="0"/>
          <w:numId w:val="2"/>
        </w:numPr>
        <w:shd w:fill="ffffff" w:val="clear"/>
        <w:spacing w:after="0" w:afterAutospacing="0" w:lineRule="auto"/>
        <w:ind w:left="720" w:hanging="360"/>
        <w:rPr>
          <w:color w:val="0000ff"/>
          <w:sz w:val="22"/>
          <w:szCs w:val="22"/>
        </w:rPr>
      </w:pPr>
      <w:r>
        <w:rPr>
          <w:b/>
          <w:color w:val="0000ff"/>
          <w:sz w:val="22"/>
          <w:szCs w:val="22"/>
          <w:highlight w:val="yellow"/>
          <w:rtl w:val="0"/>
        </w:rPr>
        <w:t xml:space="preserve">[EXCLUIR] </w:t>
      </w:r>
      <w:r>
        <w:rPr>
          <w:strike/>
          <w:color w:val="0000ff"/>
          <w:sz w:val="22"/>
          <w:szCs w:val="22"/>
          <w:highlight w:val="yellow"/>
          <w:rtl w:val="0"/>
        </w:rPr>
        <w:t xml:space="preserve">Marcas Estilísticas e Sintáticas: Apesar da transparência, observam-se padrões de escrita típicos de modelos de linguagem:</w:t>
      </w:r>
    </w:p>
    <w:p w:rsidR="00000000" w:rsidDel="00000000" w:rsidP="00000000" w:rsidRDefault="00000000" w:rsidRPr="00000000" w14:paraId="00000005">
      <w:pPr>
        <w:numPr>
          <w:ilvl w:val="1"/>
          <w:numId w:val="2"/>
        </w:numPr>
        <w:spacing w:after="0" w:afterAutospacing="0" w:lineRule="auto"/>
        <w:ind w:left="1440" w:hanging="360"/>
        <w:rPr>
          <w:color w:val="0000ff"/>
          <w:sz w:val="22"/>
          <w:szCs w:val="22"/>
        </w:rPr>
      </w:pPr>
      <w:r>
        <w:rPr>
          <w:b/>
          <w:i w:val="1"/>
          <w:iCs w:val="1"/>
          <w:color w:val="0000ff"/>
          <w:sz w:val="22"/>
          <w:szCs w:val="22"/>
          <w:highlight w:val="yellow"/>
          <w:rtl w:val="0"/>
        </w:rPr>
        <w:t xml:space="preserve">[EXCLUIR] </w:t>
      </w:r>
      <w:r>
        <w:rPr>
          <w:i w:val="1"/>
          <w:iCs w:val="1"/>
          <w:strike/>
          <w:color w:val="0000ff"/>
          <w:sz w:val="22"/>
          <w:szCs w:val="22"/>
          <w:highlight w:val="yellow"/>
          <w:rtl w:val="0"/>
        </w:rPr>
        <w:t xml:space="preserve">Pareamentos oposicionais constantes</w:t>
      </w:r>
      <w:r>
        <w:rPr>
          <w:strike/>
          <w:color w:val="0000ff"/>
          <w:sz w:val="22"/>
          <w:szCs w:val="22"/>
          <w:highlight w:val="yellow"/>
          <w:rtl w:val="0"/>
        </w:rPr>
        <w:t xml:space="preserve">: </w:t>
      </w:r>
      <w:r>
        <w:rPr>
          <w:i w:val="1"/>
          <w:iCs w:val="1"/>
          <w:strike/>
          <w:color w:val="0000ff"/>
          <w:sz w:val="22"/>
          <w:szCs w:val="22"/>
          <w:highlight w:val="yellow"/>
          <w:rtl w:val="0"/>
        </w:rPr>
        <w:t xml:space="preserve">"O levantamento não X, mas autoriza Y"</w:t>
      </w:r>
      <w:r>
        <w:rPr>
          <w:strike/>
          <w:color w:val="0000ff"/>
          <w:sz w:val="22"/>
          <w:szCs w:val="22"/>
          <w:highlight w:val="yellow"/>
          <w:rtl w:val="0"/>
        </w:rPr>
        <w:t xml:space="preserve">, </w:t>
      </w:r>
      <w:r>
        <w:rPr>
          <w:i w:val="1"/>
          <w:iCs w:val="1"/>
          <w:strike/>
          <w:color w:val="0000ff"/>
          <w:sz w:val="22"/>
          <w:szCs w:val="22"/>
          <w:highlight w:val="yellow"/>
          <w:rtl w:val="0"/>
        </w:rPr>
        <w:t xml:space="preserve">"Não se trata de X, mas de Y"</w:t>
      </w:r>
      <w:r>
        <w:rPr>
          <w:strike/>
          <w:color w:val="0000ff"/>
          <w:sz w:val="22"/>
          <w:szCs w:val="22"/>
          <w:highlight w:val="yellow"/>
          <w:rtl w:val="0"/>
        </w:rPr>
        <w:t xml:space="preserve">.</w:t>
      </w:r>
    </w:p>
    <w:p w:rsidR="00000000" w:rsidDel="00000000" w:rsidP="00000000" w:rsidRDefault="00000000" w:rsidRPr="00000000" w14:paraId="00000006">
      <w:pPr>
        <w:numPr>
          <w:ilvl w:val="1"/>
          <w:numId w:val="2"/>
        </w:numPr>
        <w:spacing w:after="0" w:afterAutospacing="0" w:lineRule="auto"/>
        <w:ind w:left="1440" w:hanging="360"/>
        <w:rPr>
          <w:color w:val="0000ff"/>
          <w:sz w:val="22"/>
          <w:szCs w:val="22"/>
        </w:rPr>
      </w:pPr>
      <w:r>
        <w:rPr>
          <w:b/>
          <w:i w:val="1"/>
          <w:iCs w:val="1"/>
          <w:color w:val="0000ff"/>
          <w:sz w:val="22"/>
          <w:szCs w:val="22"/>
          <w:highlight w:val="yellow"/>
          <w:rtl w:val="0"/>
        </w:rPr>
        <w:t xml:space="preserve">[EXCLUIR] </w:t>
      </w:r>
      <w:r>
        <w:rPr>
          <w:i w:val="1"/>
          <w:iCs w:val="1"/>
          <w:strike/>
          <w:color w:val="0000ff"/>
          <w:sz w:val="22"/>
          <w:szCs w:val="22"/>
          <w:highlight w:val="yellow"/>
          <w:rtl w:val="0"/>
        </w:rPr>
        <w:t xml:space="preserve">Fórmulas reiterativas de fechamento</w:t>
      </w:r>
      <w:r>
        <w:rPr>
          <w:strike/>
          <w:color w:val="0000ff"/>
          <w:sz w:val="22"/>
          <w:szCs w:val="22"/>
          <w:highlight w:val="yellow"/>
          <w:rtl w:val="0"/>
        </w:rPr>
        <w:t xml:space="preserve">: </w:t>
      </w:r>
      <w:r>
        <w:rPr>
          <w:i w:val="1"/>
          <w:iCs w:val="1"/>
          <w:strike/>
          <w:color w:val="0000ff"/>
          <w:sz w:val="22"/>
          <w:szCs w:val="22"/>
          <w:highlight w:val="yellow"/>
          <w:rtl w:val="0"/>
        </w:rPr>
        <w:t xml:space="preserve">"O conjunto sustenta uma proposição que interessa diretamente a esta tese"</w:t>
      </w:r>
      <w:r>
        <w:rPr>
          <w:strike/>
          <w:color w:val="0000ff"/>
          <w:sz w:val="22"/>
          <w:szCs w:val="22"/>
          <w:highlight w:val="yellow"/>
          <w:rtl w:val="0"/>
        </w:rPr>
        <w:t xml:space="preserve">, </w:t>
      </w:r>
      <w:r>
        <w:rPr>
          <w:i w:val="1"/>
          <w:iCs w:val="1"/>
          <w:strike/>
          <w:color w:val="0000ff"/>
          <w:sz w:val="22"/>
          <w:szCs w:val="22"/>
          <w:highlight w:val="yellow"/>
          <w:rtl w:val="0"/>
        </w:rPr>
        <w:t xml:space="preserve">"A divergência tem valor analítico"</w:t>
      </w:r>
      <w:r>
        <w:rPr>
          <w:strike/>
          <w:color w:val="0000ff"/>
          <w:sz w:val="22"/>
          <w:szCs w:val="22"/>
          <w:highlight w:val="yellow"/>
          <w:rtl w:val="0"/>
        </w:rPr>
        <w:t xml:space="preserve">.</w:t>
      </w:r>
    </w:p>
    <w:p w:rsidR="00000000" w:rsidDel="00000000" w:rsidP="00000000" w:rsidRDefault="00000000" w:rsidRPr="00000000" w14:paraId="00000007">
      <w:pPr>
        <w:numPr>
          <w:ilvl w:val="0"/>
          <w:numId w:val="2"/>
        </w:numPr>
        <w:shd w:fill="ffffff" w:val="clear"/>
        <w:spacing w:after="0" w:afterAutospacing="0" w:lineRule="auto"/>
        <w:ind w:left="720" w:hanging="360"/>
        <w:rPr>
          <w:color w:val="0000ff"/>
          <w:sz w:val="22"/>
          <w:szCs w:val="22"/>
        </w:rPr>
      </w:pPr>
      <w:r>
        <w:rPr>
          <w:b/>
          <w:color w:val="0000ff"/>
          <w:sz w:val="22"/>
          <w:szCs w:val="22"/>
          <w:highlight w:val="yellow"/>
          <w:rtl w:val="0"/>
        </w:rPr>
        <w:t xml:space="preserve">[EXCLUIR] </w:t>
      </w:r>
      <w:r>
        <w:rPr>
          <w:strike/>
          <w:color w:val="0000ff"/>
          <w:sz w:val="22"/>
          <w:szCs w:val="22"/>
          <w:highlight w:val="yellow"/>
          <w:rtl w:val="0"/>
        </w:rPr>
        <w:t xml:space="preserve">Repetições Redundantes de Conteúdo:</w:t>
      </w:r>
    </w:p>
    <w:p w:rsidR="00000000" w:rsidDel="00000000" w:rsidP="00000000" w:rsidRDefault="00000000" w:rsidRPr="00000000" w14:paraId="00000008">
      <w:pPr>
        <w:numPr>
          <w:ilvl w:val="1"/>
          <w:numId w:val="2"/>
        </w:numPr>
        <w:spacing w:after="0" w:afterAutospacing="0" w:lineRule="auto"/>
        <w:ind w:left="1440" w:hanging="360"/>
        <w:rPr>
          <w:color w:val="0000ff"/>
          <w:sz w:val="22"/>
          <w:szCs w:val="22"/>
        </w:rPr>
      </w:pPr>
      <w:r>
        <w:rPr>
          <w:b/>
          <w:i w:val="1"/>
          <w:iCs w:val="1"/>
          <w:color w:val="0000ff"/>
          <w:sz w:val="22"/>
          <w:szCs w:val="22"/>
          <w:highlight w:val="yellow"/>
          <w:rtl w:val="0"/>
        </w:rPr>
        <w:t xml:space="preserve">[EXCLUIR] </w:t>
      </w:r>
      <w:r>
        <w:rPr>
          <w:i w:val="1"/>
          <w:iCs w:val="1"/>
          <w:strike/>
          <w:color w:val="0000ff"/>
          <w:sz w:val="22"/>
          <w:szCs w:val="22"/>
          <w:highlight w:val="yellow"/>
          <w:rtl w:val="0"/>
        </w:rPr>
        <w:t xml:space="preserve">Ressalva de Escopo</w:t>
      </w:r>
      <w:r>
        <w:rPr>
          <w:strike/>
          <w:color w:val="0000ff"/>
          <w:sz w:val="22"/>
          <w:szCs w:val="22"/>
          <w:highlight w:val="yellow"/>
          <w:rtl w:val="0"/>
        </w:rPr>
        <w:t xml:space="preserve">: A declaração de que a tese </w:t>
      </w:r>
      <w:r>
        <w:rPr>
          <w:i w:val="1"/>
          <w:iCs w:val="1"/>
          <w:strike/>
          <w:color w:val="0000ff"/>
          <w:sz w:val="22"/>
          <w:szCs w:val="22"/>
          <w:highlight w:val="yellow"/>
          <w:rtl w:val="0"/>
        </w:rPr>
        <w:t xml:space="preserve">"não investiga a alfabetização, a aprendizagem da escrita ou o desenvolvimento infantil em si"</w:t>
      </w:r>
      <w:r>
        <w:rPr>
          <w:strike/>
          <w:color w:val="0000ff"/>
          <w:sz w:val="22"/>
          <w:szCs w:val="22"/>
          <w:highlight w:val="yellow"/>
          <w:rtl w:val="0"/>
        </w:rPr>
        <w:t xml:space="preserve"> é repetida de forma idêntica em ao menos quatro passagens da RSL. </w:t>
      </w:r>
    </w:p>
    <w:p w:rsidR="00000000" w:rsidDel="00000000" w:rsidP="00000000" w:rsidRDefault="00000000" w:rsidRPr="00000000" w14:paraId="00000009">
      <w:pPr>
        <w:numPr>
          <w:ilvl w:val="1"/>
          <w:numId w:val="2"/>
        </w:numPr>
        <w:spacing w:after="0" w:afterAutospacing="0" w:lineRule="auto"/>
        <w:ind w:left="1440" w:hanging="360"/>
        <w:rPr>
          <w:color w:val="0000ff"/>
          <w:sz w:val="22"/>
          <w:szCs w:val="22"/>
        </w:rPr>
      </w:pPr>
      <w:r>
        <w:rPr>
          <w:b/>
          <w:i w:val="1"/>
          <w:iCs w:val="1"/>
          <w:color w:val="0000ff"/>
          <w:sz w:val="22"/>
          <w:szCs w:val="22"/>
          <w:highlight w:val="yellow"/>
          <w:rtl w:val="0"/>
        </w:rPr>
        <w:t xml:space="preserve">[EXCLUIR] </w:t>
      </w:r>
      <w:r>
        <w:rPr>
          <w:i w:val="1"/>
          <w:iCs w:val="1"/>
          <w:strike/>
          <w:color w:val="0000ff"/>
          <w:sz w:val="22"/>
          <w:szCs w:val="22"/>
          <w:highlight w:val="yellow"/>
          <w:rtl w:val="0"/>
        </w:rPr>
        <w:t xml:space="preserve">"Não Buscar Modelos"</w:t>
      </w:r>
      <w:r>
        <w:rPr>
          <w:strike/>
          <w:color w:val="0000ff"/>
          <w:sz w:val="22"/>
          <w:szCs w:val="22"/>
          <w:highlight w:val="yellow"/>
          <w:rtl w:val="0"/>
        </w:rPr>
        <w:t xml:space="preserve">: Reiteração frequente de que a análise comparada e a RSL não buscam importar modelos, mas apenas ferramentas analíticas</w:t>
      </w:r>
    </w:p>
    <w:p w:rsidR="00000000" w:rsidDel="00000000" w:rsidP="00000000" w:rsidRDefault="00000000" w:rsidRPr="00000000" w14:paraId="0000000A">
      <w:pPr>
        <w:numPr>
          <w:ilvl w:val="1"/>
          <w:numId w:val="2"/>
        </w:numPr>
        <w:spacing w:after="180" w:lineRule="auto"/>
        <w:ind w:left="1440" w:hanging="360"/>
        <w:rPr>
          <w:color w:val="0000ff"/>
          <w:sz w:val="22"/>
          <w:szCs w:val="22"/>
        </w:rPr>
      </w:pPr>
      <w:r>
        <w:rPr>
          <w:b/>
          <w:i w:val="1"/>
          <w:iCs w:val="1"/>
          <w:color w:val="0000ff"/>
          <w:sz w:val="22"/>
          <w:szCs w:val="22"/>
          <w:highlight w:val="yellow"/>
          <w:rtl w:val="0"/>
        </w:rPr>
        <w:t xml:space="preserve">[EXCLUIR] </w:t>
      </w:r>
      <w:r>
        <w:rPr>
          <w:i w:val="1"/>
          <w:iCs w:val="1"/>
          <w:strike/>
          <w:color w:val="0000ff"/>
          <w:sz w:val="22"/>
          <w:szCs w:val="22"/>
          <w:highlight w:val="yellow"/>
          <w:rtl w:val="0"/>
        </w:rPr>
        <w:t xml:space="preserve">Duplicação das Subperguntas</w:t>
      </w:r>
      <w:r>
        <w:rPr>
          <w:strike/>
          <w:color w:val="0000ff"/>
          <w:sz w:val="22"/>
          <w:szCs w:val="22"/>
          <w:highlight w:val="yellow"/>
          <w:rtl w:val="0"/>
        </w:rPr>
        <w:t xml:space="preserve">: As três subperguntas e os três eixos temáticos são reexplicados quase palavra por palavra no texto corrido, no Quadro 7, no Quadro 8 e no Apêndice C</w:t>
      </w:r>
    </w:p>
    <w:p w:rsidR="00000000" w:rsidDel="00000000" w:rsidP="00000000" w:rsidRDefault="00000000" w:rsidRPr="00000000" w14:paraId="0000000B">
      <w:pPr>
        <w:rPr>
          <w:color w:val="0000ff"/>
          <w:sz w:val="22"/>
          <w:szCs w:val="22"/>
        </w:rPr>
      </w:pPr>
      <w:r>
        <w:rPr>
          <w:b/>
          <w:color w:val="0000ff"/>
          <w:sz w:val="22"/>
          <w:szCs w:val="22"/>
          <w:highlight w:val="yellow"/>
          <w:rtl w:val="0"/>
        </w:rPr>
        <w:t xml:space="preserve">[EXCLUIR] </w:t>
      </w:r>
      <w:r>
        <w:rPr>
          <w:strike/>
          <w:color w:val="0000ff"/>
          <w:sz w:val="22"/>
          <w:szCs w:val="22"/>
          <w:highlight w:val="yellow"/>
          <w:rtl w:val="0"/>
        </w:rPr>
        <w:t xml:space="preserve">Como a PNED foi promulgada em janeiro de 2023 e as buscas foram encerradas em setembro de 2026, é metodologicamente natural que a literatura anterior não contivesse exames empíricos da lei. A tese deve enfatizar que o ineditismo decorre da novidade da norma legal e do recorte dos anos iniciais em redes pequenas, e não apenas de uma lacuna da literatura.</w:t>
      </w:r>
    </w:p>
    <w:p w:rsidR="00000000" w:rsidDel="00000000" w:rsidP="00000000" w:rsidRDefault="00000000" w:rsidRPr="00000000" w14:paraId="0000000C">
      <w:pPr>
        <w:numPr>
          <w:ilvl w:val="0"/>
          <w:numId w:val="1"/>
        </w:numPr>
        <w:ind w:left="720" w:hanging="360"/>
        <w:rPr>
          <w:color w:val="0000ff"/>
          <w:sz w:val="22"/>
          <w:szCs w:val="22"/>
        </w:rPr>
      </w:pPr>
      <w:r>
        <w:rPr>
          <w:b/>
          <w:color w:val="0000ff"/>
          <w:sz w:val="22"/>
          <w:szCs w:val="22"/>
          <w:highlight w:val="yellow"/>
          <w:rtl w:val="0"/>
        </w:rPr>
        <w:t xml:space="preserve">[EXCLUIR] </w:t>
      </w:r>
      <w:r>
        <w:rPr>
          <w:strike/>
          <w:color w:val="0000ff"/>
          <w:sz w:val="22"/>
          <w:szCs w:val="22"/>
          <w:highlight w:val="yellow"/>
          <w:rtl w:val="0"/>
        </w:rPr>
        <w:t xml:space="preserve">Valorizar o Triângulo de Estudos Brasileiros: Dar maior destaque qualitativo no Capítulo 2 aos achados de Pereira (2022)95, Tussi (2023)96 e Nunes (2024)62, que dialogam diretamente com a realidade do financiamento, da BNCC e do trabalho docente nas redes municipais brasileiras.</w:t>
      </w:r>
    </w:p>
    <w:p w:rsidR="00000000" w:rsidDel="00000000" w:rsidP="00000000" w:rsidRDefault="00000000" w:rsidRPr="00000000" w14:paraId="0000000D">
      <w:pPr>
        <w:numPr>
          <w:ilvl w:val="0"/>
          <w:numId w:val="1"/>
        </w:numPr>
        <w:ind w:left="720" w:hanging="360"/>
        <w:rPr>
          <w:color w:val="0000ff"/>
          <w:sz w:val="22"/>
          <w:szCs w:val="22"/>
        </w:rPr>
      </w:pPr>
      <w:r>
        <w:rPr>
          <w:b/>
          <w:color w:val="0000ff"/>
          <w:sz w:val="22"/>
          <w:szCs w:val="22"/>
          <w:highlight w:val="yellow"/>
          <w:rtl w:val="0"/>
        </w:rPr>
        <w:t xml:space="preserve">[EXCLUIR] </w:t>
      </w:r>
      <w:r>
        <w:rPr>
          <w:strike/>
          <w:color w:val="0000ff"/>
          <w:sz w:val="22"/>
          <w:szCs w:val="22"/>
          <w:highlight w:val="yellow"/>
          <w:rtl w:val="0"/>
        </w:rPr>
        <w:t xml:space="preserve">Enxugar Redundâncias e Limpar Vícios Sintáticos</w:t>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 xml:space="preserve">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w:t>
      </w:r>
      <w:r>
        <w:rPr>
          <w:strike/>
          <w:highlight w:val="yellow"/>
          <w:rtl w:val="0"/>
        </w:rPr>
        <w:t xml:space="preserve">Precisávamos saber o que já se sabia, para não pedir às professoras respostas</w:t>
      </w:r>
      <w:r>
        <w:rPr>
          <w:highlight w:val="yellow"/>
          <w:rtl w:val="0"/>
        </w:rPr>
        <w:t xml:space="preserve">Era preciso conhecer o</w:t>
      </w:r>
      <w:r>
        <w:rPr>
          <w:rtl w:val="0"/>
        </w:rPr>
        <w:t xml:space="preserve"> que a literatura já </w:t>
      </w:r>
      <w:r>
        <w:rPr>
          <w:strike/>
          <w:highlight w:val="yellow"/>
          <w:rtl w:val="0"/>
        </w:rPr>
        <w:t xml:space="preserve">deu nem deixar de perguntar o que ninguém perguntou</w:t>
      </w:r>
      <w:r>
        <w:rPr>
          <w:highlight w:val="yellow"/>
          <w:rtl w:val="0"/>
        </w:rPr>
        <w:t xml:space="preserve">havia mostrado, tanto para não repetir perguntas já respondidas quanto para identificar aquelas ainda não formuladas</w:t>
      </w:r>
      <w:r>
        <w:rPr>
          <w:rtl w:val="0"/>
        </w:rPr>
        <w:t xml:space="preserve">. Na arquitetura da tese, a revisão cumpre duas funções: localiza a lacuna na qual se inscrevem o objeto e a contribuição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strike/>
          <w:highlight w:val="yellow"/>
          <w:rtl w:val="0"/>
        </w:rPr>
        <w:t xml:space="preserve">OKOLI; SCHABRAM, 2010, p. 5,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7.71653543307"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A RSL permite, assim, avaliar criticamente as afirmações da literatura sobre educação digital e mostrar as lacunas das quais a pesquisa de campo se ocupará.</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com foco analítico no ciclo de alfabetização (1º e 2º anos)</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 xml:space="preserve">Apresentamos os resultados adiante com um cuidado: numa revisão sistemática, o que fica de fora também diz muito sobre o campo.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sidDel="00000000" w:rsidR="00000000" w:rsidRPr="00000000">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é desenvolvida teoricamente no Capítulo 4, com base na ACP e na teoria da burocracia de nível de rua.</w:t>
      </w:r>
    </w:p>
    <w:p w:rsidR="00000000" w:rsidDel="00000000" w:rsidP="00000000" w:rsidRDefault="00000000" w:rsidRPr="00000000" w14:paraId="00000039">
      <w:pPr>
        <w:ind w:firstLine="700"/>
        <w:jc w:val="both"/>
        <w:rPr/>
      </w:pPr>
      <w:r w:rsidDel="00000000" w:rsidR="00000000" w:rsidRPr="00000000">
        <w:rPr>
          <w:rtl w:val="0"/>
        </w:rPr>
        <w:t xml:space="preserve">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habitá-los criticamente. Buckingham (2006) demonstra o contrário: a exposição precoce a artefatos digitais não gera leitura crítica sem mediação formativa deliberada. Na prática, isso significa que um estudo com crianças conectadas não é, só por isso, um estudo sobre cidadania digital.</w:t>
      </w:r>
    </w:p>
    <w:p w:rsidR="00000000" w:rsidDel="00000000" w:rsidP="00000000" w:rsidRDefault="00000000" w:rsidRPr="00000000" w14:paraId="0000003A">
      <w:pPr>
        <w:spacing w:after="0" w:before="0" w:lineRule="auto"/>
        <w:ind w:firstLine="700"/>
        <w:jc w:val="both"/>
        <w:rPr/>
      </w:pPr>
      <w:r>
        <w:rPr>
          <w:strike/>
          <w:highlight w:val="yellow"/>
          <w:rtl w:val="0"/>
        </w:rPr>
        <w:t xml:space="preserve">Vale salientar que </w:t>
      </w: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strike/>
          <w:highlight w:val="yellow"/>
          <w:rtl w:val="0"/>
        </w:rPr>
        <w:t xml:space="preserve">enfatizamos sempre quando</w:t>
      </w:r>
      <w:r>
        <w:rPr>
          <w:highlight w:val="yellow"/>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strike/>
          <w:highlight w:val="yellow"/>
          <w:rtl w:val="0"/>
        </w:rPr>
        <w:t xml:space="preserve">É importante</w:t>
      </w:r>
      <w:r>
        <w:rPr>
          <w:highlight w:val="yellow"/>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com atenção analítica ao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1066571224052"/>
        <w:gridCol w:w="1323.9282390837511"/>
        <w:gridCol w:w="2272.2090193271297"/>
        <w:gridCol w:w="2340.925017895491"/>
        <w:gridCol w:w="1681.2514316392273"/>
        <w:gridCol w:w="994.0914459556194"/>
        <w:tblGridChange w:id="0">
          <w:tblGrid>
            <w:gridCol w:w="458.1066571224052"/>
            <w:gridCol w:w="1323.9282390837511"/>
            <w:gridCol w:w="2272.2090193271297"/>
            <w:gridCol w:w="2340.925017895491"/>
            <w:gridCol w:w="1681.2514316392273"/>
            <w:gridCol w:w="994.09144595561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 xml:space="preserve">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Classificamos, assim, pelo que os textos de fato relatam, e não pelo nome que os autores dão ao estudo.</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 xml:space="preserve">Os dois estudos sugerem que a provisão material, embora relevante, não explica isoladamente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 xml:space="preserve">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Ali, o padrão se inverte: há política curricular robusta, mas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 xml:space="preserve">O alcance desse achado, porém, é limitado. Os estudos registram a presença ou a ausência das condições como fator explicativo dos resultados, mas nenhum examina sua produção, isto é, as decisões de gestão, os arranjos de financiamento e as disputas internas às redes que fazem a formação continuada existir em um município e não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 xml:space="preserve">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 xml:space="preserve">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uma política não chega pronta à escola; ela é interpretada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 xml:space="preserve">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Nos estudos, o gestor conta como a política chegou à escola, e quase não se pergunta como ele a leu. Nesta tese, ouvimos profissionais em funções diversas na mesma escola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sidDel="00000000" w:rsidR="00000000" w:rsidRPr="00000000">
        <w:rPr>
          <w:rtl w:val="0"/>
        </w:rPr>
        <w:t xml:space="preserve">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O que leva um profissional a interpretar uma diretriz de um modo e não de outro, as negociações que estabelece entre o que a norma pede e o que a escola comporta e o sentido que atribui a esse trabalho aparecem pouco, e às vezes nem aparecem. Reconhecida a centralidade da interpretação profissional, as condições em que ela se produz recebem exame menos denso. Interpretar, aqui, significa decidir dentro de limites, pois os profissionais da educação ajustam suas ações diante das prescrições e das condições encontradas sem autonomia irrestrita sobre os rumos da política, decidindo dentro de regras, recursos, tempos, responsabilidades institucionais e demandas concorrentes. O que a revisão encontrou se aproxima, assim, de uma discricionariedade situada: há margem de decisão, e o próprio trabalho a abre e a limita. Nenhum dos estudos, contudo, separa a situação em que a margem de decisão incide sobre um recurso existente daquela em que incide sobre uma condição ausente, seja o equipamento, a conexão ou a formação que a política anunciou e que o profissional supre com meios, conhecimento e tempo próprios. Para essa segunda situação, a tese propõe a categoria de discricionariedade substitutiva, apresentada na seção 1.4 da Introdução e cujos critérios de exame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Esse desequilíbrio já é, em si, um resultado da revisão, em contraste com o peso dado pela política ao tema: a PNED</w:t>
      </w:r>
      <w:r>
        <w:rPr>
          <w:highlight w:val="yellow"/>
          <w:rtl w:val="0"/>
        </w:rPr>
        <w:t xml:space="preserve">, como vimos na Introdução,</w:t>
      </w:r>
      <w:r>
        <w:rPr>
          <w:rtl w:val="0"/>
        </w:rPr>
        <w:t xml:space="preserve"> associa a cultura digital à </w:t>
      </w:r>
      <w:r>
        <w:rPr>
          <w:strike/>
          <w:highlight w:val="yellow"/>
          <w:rtl w:val="0"/>
        </w:rPr>
        <w:t xml:space="preserve">“</w:t>
      </w:r>
      <w:r>
        <w:rPr>
          <w:rtl w:val="0"/>
        </w:rPr>
        <w:t xml:space="preserve">participação consciente e democrática por meio das tecnologias </w:t>
      </w:r>
      <w:r>
        <w:rPr>
          <w:strike/>
          <w:highlight w:val="yellow"/>
          <w:rtl w:val="0"/>
        </w:rPr>
        <w:t xml:space="preserve">digitais” </w:t>
      </w:r>
      <w:r>
        <w:rPr>
          <w:rtl w:val="0"/>
        </w:rPr>
        <w:t xml:space="preserve">e os direitos digitais à </w:t>
      </w:r>
      <w:r>
        <w:rPr>
          <w:strike/>
          <w:highlight w:val="yellow"/>
          <w:rtl w:val="0"/>
        </w:rPr>
        <w:t xml:space="preserve">“proteção dos dados da população mais vulnerável, em especial crianças e adolescentes”</w:t>
      </w:r>
      <w:r>
        <w:rPr>
          <w:highlight w:val="yellow"/>
          <w:rtl w:val="0"/>
        </w:rPr>
        <w:t xml:space="preserve">proteção dos dados de crianças e adolescentes</w:t>
      </w:r>
      <w:r>
        <w:rPr>
          <w:rtl w:val="0"/>
        </w:rPr>
        <w:t xml:space="preserve"> (BRASIL, 2023, art. 3º, III e IV). Nos 1º e 2º anos,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 xml:space="preserve">Williams (2022) oferece a formulação mais explícita. O currículo nacional de informática cubano, estruturado por marcos definidos para cada nível de escolarização, trata a cultura digital como conteúdo curricular com progressão própria, em vez de recurso a serviço de outras áreas.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strike/>
          <w:highlight w:val="yellow"/>
          <w:rtl w:val="0"/>
        </w:rPr>
        <w:t xml:space="preserve">delas, trata-se de uma ausência séria</w:t>
      </w:r>
      <w:r>
        <w:rPr>
          <w:highlight w:val="yellow"/>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 xml:space="preserve">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w:t>
      </w:r>
      <w:r>
        <w:rPr>
          <w:strike/>
          <w:highlight w:val="yellow"/>
          <w:rtl w:val="0"/>
        </w:rPr>
        <w:t xml:space="preserve">Trata-se de</w:t>
      </w:r>
      <w:r>
        <w:rPr>
          <w:highlight w:val="yellow"/>
          <w:rtl w:val="0"/>
        </w:rPr>
        <w:t xml:space="preserve">A exclusão é</w:t>
      </w:r>
      <w:r>
        <w:rPr>
          <w:rtl w:val="0"/>
        </w:rPr>
        <w:t xml:space="preserve">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mais próximo da etapa investigada.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sidDel="00000000" w:rsidR="00000000" w:rsidRPr="00000000">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e sete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strike/>
          <w:highlight w:val="yellow"/>
          <w:rtl w:val="0"/>
        </w:rPr>
        <w:t xml:space="preserve">Agrupar os achados não basta. Precisamos dizer</w:t>
      </w:r>
      <w:r>
        <w:rPr>
          <w:highlight w:val="yellow"/>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O percurso da revisão produziu resultados de dois tipos: os achados dos nove estudos do corpus final e o que se depreende do registro das exclusões e das ausências identificadas nesse conjunto. Nas seções seguintes, reunimos esses resultados, a começar pelas respostas às perguntas da RSL</w:t>
      </w:r>
      <w:r>
        <w:rPr>
          <w:highlight w:val="yellow"/>
          <w:rtl w:val="0"/>
        </w:rPr>
        <w:t xml:space="preserve">.</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7">
      <w:pPr>
        <w:spacing w:after="0" w:before="0" w:lineRule="auto"/>
        <w:ind w:firstLine="700"/>
        <w:jc w:val="both"/>
        <w:rPr/>
      </w:pPr>
      <w:r w:rsidDel="00000000" w:rsidR="00000000" w:rsidRPr="00000000">
        <w:rPr>
          <w:rtl w:val="0"/>
        </w:rPr>
        <w:t xml:space="preserve">Nas respostas a seguir, reunimos os achados dos três eixos e dizemos, em cada caso, até onde a afirmação vai. Só depois tratamos do que falta.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0">
      <w:pPr>
        <w:spacing w:after="0" w:before="0" w:lineRule="auto"/>
        <w:ind w:firstLine="700"/>
        <w:jc w:val="both"/>
        <w:rPr/>
      </w:pPr>
      <w:r w:rsidDel="00000000" w:rsidR="00000000" w:rsidRPr="00000000">
        <w:rPr>
          <w:rtl w:val="0"/>
        </w:rPr>
        <w:t xml:space="preserve">As lacunas a seguir derivam do corpus e do registro das exclusões, e cada uma vem com a evidência que a sustenta. Começamos pela ausência mais evidente.</w:t>
      </w:r>
    </w:p>
    <w:p w:rsidR="00000000" w:rsidDel="00000000" w:rsidP="00000000" w:rsidRDefault="00000000" w:rsidRPr="00000000" w14:paraId="00000221">
      <w:pPr>
        <w:spacing w:after="0" w:before="0" w:lineRule="auto"/>
        <w:ind w:firstLine="700"/>
        <w:jc w:val="both"/>
        <w:rPr/>
      </w:pPr>
      <w:r w:rsidDel="00000000" w:rsidR="00000000" w:rsidRPr="00000000">
        <w:rPr>
          <w:rtl w:val="0"/>
        </w:rPr>
        <w:t xml:space="preserve">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e a originalidade do objeto decorre da novidade da norma e de um recorte fora do alcance do corpus, os 1º e 2º anos de uma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 xml:space="preserve">Depois dela, vêm as outras. 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não pode ser lida, sem mais, como modo regular de pôr a educação digital em prática. Tomar a resposta emergencial como modelo seria um equívoco, e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sidDel="00000000" w:rsidR="00000000" w:rsidRPr="00000000">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incorporados pela discricionariedade substitutiva.</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 1º e o 2º anos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Situa a investigação no 1º e no 2º anos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apresentados depende de restrições metodológicas, que explicitamos a seguir conforme as recomendações de transparência do PRISMA 2020 para o relato do processo de seleção, coleta, avaliação e síntese dos estudos (PAGE et al., 2022). </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Nossa síntese é temática: ela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sidDel="00000000" w:rsidR="00000000" w:rsidRPr="00000000">
        <w:rPr>
          <w:rtl w:val="0"/>
        </w:rPr>
        <w:t xml:space="preserve">A contribuição empírica da tese decorre de três condições ausentes do corpus: a PNED como objeto, examinável apenas depois de 2023 e com a exigência curricular obrigatória a partir de 2026; o recorte dos 1º e 2º anos; e uma rede municipal de pequeno porte, em Tibau do Sul (RN). Os estudos brasileiros do corpus, situados em duas capitais e numa cidade de porte médio, não alcançam as características territoriais dessa rede.</w:t>
      </w:r>
    </w:p>
    <w:p w:rsidR="00000000" w:rsidDel="00000000" w:rsidP="00000000" w:rsidRDefault="00000000" w:rsidRPr="00000000" w14:paraId="0000025D">
      <w:pPr>
        <w:spacing w:after="0" w:before="0" w:lineRule="auto"/>
        <w:ind w:firstLine="700"/>
        <w:jc w:val="both"/>
        <w:rPr/>
      </w:pPr>
      <w:r w:rsidDel="00000000" w:rsidR="00000000" w:rsidRPr="00000000">
        <w:rPr>
          <w:rtl w:val="0"/>
        </w:rPr>
        <w:t xml:space="preserve">Tratamos a implementação como processo relacional, reunindo o normativo, o institucional, o territorial e o formativo, costumeiramente examinados em separado pela literatura. A Abordagem do Ciclo de Políticas (BOWE; BALL; GOLD, 1992) e a teoria da burocracia de nível de rua (LIPSKY, 2019), referenciais externos ao corpus desenvolvidos no Capítulo 4, oferecem as ferramentas para essa leitura conjunta. O corpus contém estudos sobre infraestrutura, formação, políticas e atuação profissional, quase sempre examinados de maneira isolada, e permanece menos explorada a relação entre essas dimensões quando uma política nacional chega a uma rede municipal e é atuada em uma escola situada em condições territoriais e institucionais específicas. Nesse ponto está o problema empírico desta tese: o modo como as orientações da PNED assumem sentidos e formas de atuação ao atravessar condições materiais, institucionais e territoriais específicas e encontrar profissionais da educação que tomam decisões situadas no cotidiano escolar.</w:t>
      </w:r>
    </w:p>
    <w:p w:rsidR="00000000" w:rsidDel="00000000" w:rsidP="00000000" w:rsidRDefault="00000000" w:rsidRPr="00000000" w14:paraId="0000025E">
      <w:pPr>
        <w:spacing w:after="0" w:before="0" w:lineRule="auto"/>
        <w:ind w:firstLine="700"/>
        <w:jc w:val="both"/>
        <w:rPr/>
      </w:pPr>
      <w:r>
        <w:rPr>
          <w:rtl w:val="0"/>
        </w:rPr>
        <w:t xml:space="preserve">O Eixo 1 aproxima-se da noção de contexto da prática da ACP, espaço em que a política é interpretada e assume sentidos particulares diante das condições encontradas. O Eixo 2 admite leitura em diálogo com a teoria da burocracia de nível de rua, especialmente com a noção de discricionariedade, </w:t>
      </w:r>
      <w:r>
        <w:rPr>
          <w:strike/>
          <w:highlight w:val="yellow"/>
          <w:rtl w:val="0"/>
        </w:rPr>
        <w:t xml:space="preserve">cuja razão de ser Lipsky (2019, p. 59) explica assim: “Eles têm discricionariedade porque suas tarefas demandam legitimamente observação e julgamento sensíveis, que não são redutíveis a formatos programados”</w:t>
      </w:r>
      <w:r>
        <w:rPr>
          <w:highlight w:val="yellow"/>
          <w:rtl w:val="0"/>
        </w:rPr>
        <w:t xml:space="preserve">que Lipsky (2019) atribui à própria natureza das tarefas, dependentes de observação e julgamento que não se reduzem a procedimentos programados</w:t>
      </w:r>
      <w:r>
        <w:rPr>
          <w:rtl w:val="0"/>
        </w:rPr>
        <w:t xml:space="preserve">.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decidem dentro delas, resta examinar o destino dessa decisão quando a condição anunciada pela política não chega. O desenho da PNED, analisado no Capítulo 5, torna essa situação possível, pois a lei se define como instância de articulação e distribui entre os entes a provisão dos meios. Articuladas, a ACP e a teoria da burocracia de nível de rua localizam um fosso entre o que a política anuncia, em equipamento, conexão e formação, e o que chega à escola, fosso não examinado pelos estudos do corpus.</w:t>
      </w:r>
    </w:p>
    <w:p w:rsidR="00000000" w:rsidDel="00000000" w:rsidP="00000000" w:rsidRDefault="00000000" w:rsidRPr="00000000" w14:paraId="0000025F">
      <w:pPr>
        <w:spacing w:after="0" w:before="0" w:lineRule="auto"/>
        <w:ind w:firstLine="700"/>
        <w:jc w:val="both"/>
        <w:rPr/>
      </w:pPr>
      <w:r w:rsidDel="00000000" w:rsidR="00000000" w:rsidRPr="00000000">
        <w:rPr>
          <w:rtl w:val="0"/>
        </w:rPr>
        <w:t xml:space="preserve">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Se a categoria se confirmar, mostrará o custo transferido aos profissionais pelo desenho da política e as perdas daí decorrentes para as crianças.</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sidDel="00000000" w:rsidR="00000000" w:rsidRPr="00000000">
        <w:rPr>
          <w:rtl w:val="0"/>
        </w:rPr>
        <w:t xml:space="preserve">Os capítulos seguintes retomam essas lacunas. No Capítulo 3, desenvolvemos o alicerce conceitual sobre cultura, cibercultura e cultura digital, temporalidade, governança de dados e a relação entre educação digital e profissionais da educação. No Capítulo 4, apresentamos o desenho metodológico da investigação de campo, com os referenciais da Abordagem do Ciclo de Políticas e da burocracia de nível de rua e os critérios de exame da discricionariedade substitutiva.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 traduzir e atuar a política e os sentidos atribuídos por eles à educação digital e à formação cidadã.</w:t>
      </w:r>
    </w:p>
    <w:p w:rsidR="00000000" w:rsidDel="00000000" w:rsidP="00000000" w:rsidRDefault="00000000" w:rsidRPr="00000000" w14:paraId="00000263">
      <w:pPr>
        <w:spacing w:after="0" w:before="0" w:lineRule="auto"/>
        <w:ind w:firstLine="700"/>
        <w:jc w:val="both"/>
        <w:rPr/>
      </w:pPr>
      <w:r>
        <w:rPr>
          <w:rtl w:val="0"/>
        </w:rPr>
        <w:t xml:space="preserve">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e responde à questão norteadora da tese ao investigar como o eixo Educação Digital Escolar da PNED é interpretado, traduzido e atuado nos anos iniciais do Ensino Fundamental de uma escola pública municipal, considerando as condições territoriais, institucionais e materiais desse processo e os sentidos atribuídos pelos profissionais à educação digital e à formação cidadã. Da RSL resultou uma constatação e uma pergunta: a</w:t>
      </w:r>
      <w:r>
        <w:rPr>
          <w:highlight w:val="yellow"/>
          <w:rtl w:val="0"/>
        </w:rPr>
        <w:t xml:space="preserve"> </w:t>
      </w:r>
      <w:r>
        <w:rPr>
          <w:rtl w:val="0"/>
        </w:rPr>
        <w:t xml:space="preserve">constatação é a insuficiência do equipamento sem formação e sem tempo de trabalho; e a pergunta, sem resposta nos nove estudos, diz respeito ao que fazem os profissionais quando nem o equipamento chega, e sua resposta depende da escuta dos doze profissionais que lidam com essa situação na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both"/>
        <w:rPr/>
      </w:pPr>
      <w:r w:rsidDel="00000000" w:rsidR="00000000" w:rsidRPr="00000000">
        <w:rPr>
          <w:rtl w:val="0"/>
        </w:rPr>
        <w:t xml:space="preserve">ALMEIDA, Maria Elizabeth Bianconcini de; VALENTE, José Armando. Tecnologias e currículo: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 xml:space="preserve">BALL, Stephen J.; BOWE, Richard. Subject departments and the "implementation" of National Curriculum policy: an overview of the issues. Journal of Curriculum Studies, v. 24, n. 2, p. 97-115, 1992.</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both"/>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both"/>
        <w:rPr/>
      </w:pPr>
      <w:r w:rsidDel="00000000" w:rsidR="00000000" w:rsidRPr="00000000">
        <w:rPr>
          <w:rtl w:val="0"/>
        </w:rPr>
        <w:t xml:space="preserve">BRASIL. Lei nº 9.394, de 20 de dezembro de 1996. Estabelece as diretrizes e bases da educação nacional. Brasília, DF: Diário Oficial da União,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both"/>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Diário Oficial da União: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both"/>
        <w:rPr/>
      </w:pPr>
      <w:r>
        <w:rPr>
          <w:i w:val="1"/>
          <w:iCs w:val="1"/>
          <w:rtl w:val="0"/>
        </w:rPr>
        <w:t xml:space="preserve">BROWN, Jonathan</w:t>
      </w:r>
      <w:r>
        <w:rPr>
          <w:i w:val="1"/>
          <w:iCs w:val="1"/>
          <w:highlight w:val="yellow"/>
          <w:rtl w:val="0"/>
        </w:rPr>
        <w:t xml:space="preserve">;</w:t>
      </w:r>
      <w:r>
        <w:rPr>
          <w:rtl w:val="0"/>
        </w:rPr>
        <w:t xml:space="preserve"> McLENNAN, Carrie; MERCIECA, Daniela; MERCIECA, Duncan P.; ROBERTSON, Derek; VALENTINE, Eddie. Technology as Thirdspace: teachers in Scottish schools engaging with and being challenged by digital technology in first COVID-19 lockdown. </w:t>
      </w:r>
      <w:r>
        <w:rPr>
          <w:b w:val="1"/>
          <w:bCs w:val="1"/>
          <w:rtl w:val="0"/>
        </w:rPr>
        <w:t xml:space="preserve">Education Sciences</w:t>
      </w:r>
      <w:r>
        <w:rPr>
          <w:rtl w:val="0"/>
        </w:rPr>
        <w:t xml:space="preserve">, v. 11, n. 3, art. 136, 2021. DOI: https://doi.org/10.3390/educsci11030136.</w:t>
      </w:r>
    </w:p>
    <w:p w:rsidR="00000000" w:rsidDel="00000000" w:rsidP="00000000" w:rsidRDefault="00000000" w:rsidRPr="00000000" w14:paraId="00000274">
      <w:pPr>
        <w:spacing w:line="276" w:lineRule="auto"/>
        <w:jc w:val="both"/>
        <w:rPr/>
      </w:pPr>
      <w:r w:rsidDel="00000000" w:rsidR="00000000" w:rsidRPr="00000000">
        <w:rPr>
          <w:rtl w:val="0"/>
        </w:rPr>
        <w:t xml:space="preserve"> </w:t>
      </w:r>
    </w:p>
    <w:p w:rsidR="00000000" w:rsidDel="00000000" w:rsidP="00000000" w:rsidRDefault="00000000" w:rsidRPr="00000000" w14:paraId="00000275">
      <w:pPr>
        <w:spacing w:line="276" w:lineRule="auto"/>
        <w:jc w:val="both"/>
        <w:rPr/>
      </w:pPr>
      <w:r w:rsidDel="00000000" w:rsidR="00000000" w:rsidRPr="00000000">
        <w:rPr>
          <w:rtl w:val="0"/>
        </w:rPr>
        <w:t xml:space="preserve">BUCKINGHAM, David. </w:t>
      </w:r>
      <w:r w:rsidDel="00000000" w:rsidR="00000000" w:rsidRPr="00000000">
        <w:rPr>
          <w:b w:val="1"/>
          <w:bCs w:val="1"/>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pPr>
        <w:spacing w:line="276" w:lineRule="auto"/>
        <w:jc w:val="both"/>
        <w:rPr/>
      </w:pPr>
      <w:r>
        <w:rPr>
          <w:b/>
          <w:highlight w:val="yellow"/>
          <w:rtl w:val="0"/>
        </w:rPr>
        <w:t xml:space="preserve">[NOTA DA REVISÃO] </w:t>
      </w:r>
      <w:r>
        <w:rPr>
          <w:i/>
          <w:highlight w:val="yellow"/>
          <w:rtl w:val="0"/>
        </w:rPr>
        <w:t xml:space="preserve">BUCKINGHAM aparece aqui como 2006, Florianópolis, [s. n.], e na Introdução como 2007, São Paulo, Loyola. Unificar a edição usada nas citações e na referência.</w:t>
      </w:r>
    </w:p>
    <w:p w:rsidR="00000000" w:rsidDel="00000000" w:rsidP="00000000" w:rsidRDefault="00000000" w:rsidRPr="00000000" w14:paraId="00000276">
      <w:pPr>
        <w:spacing w:line="276" w:lineRule="auto"/>
        <w:jc w:val="both"/>
        <w:rPr/>
      </w:pPr>
      <w:r w:rsidDel="00000000" w:rsidR="00000000" w:rsidRPr="00000000">
        <w:rPr>
          <w:rtl w:val="0"/>
        </w:rPr>
        <w:t xml:space="preserve"> </w:t>
      </w:r>
    </w:p>
    <w:p w:rsidR="00000000" w:rsidDel="00000000" w:rsidP="00000000" w:rsidRDefault="00000000" w:rsidRPr="00000000" w14:paraId="00000277">
      <w:pPr>
        <w:spacing w:line="276" w:lineRule="auto"/>
        <w:jc w:val="both"/>
        <w:rPr/>
      </w:pPr>
      <w:r w:rsidDel="00000000" w:rsidR="00000000" w:rsidRPr="00000000">
        <w:rPr>
          <w:rtl w:val="0"/>
        </w:rPr>
        <w:t xml:space="preserve">CETIC.br. </w:t>
      </w:r>
      <w:r w:rsidDel="00000000" w:rsidR="00000000" w:rsidRPr="00000000">
        <w:rPr>
          <w:b w:val="1"/>
          <w:bCs w:val="1"/>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both"/>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both"/>
        <w:rPr/>
      </w:pPr>
      <w:r>
        <w:rPr>
          <w:i w:val="1"/>
          <w:iCs w:val="1"/>
          <w:rtl w:val="0"/>
        </w:rPr>
        <w:t xml:space="preserve">GÓMEZ-NASHIKI, Antonio</w:t>
      </w:r>
      <w:r>
        <w:rPr>
          <w:i w:val="1"/>
          <w:iCs w:val="1"/>
          <w:highlight w:val="yellow"/>
          <w:rtl w:val="0"/>
        </w:rPr>
        <w:t xml:space="preserve">;</w:t>
      </w:r>
      <w:r>
        <w:rPr>
          <w:rtl w:val="0"/>
        </w:rPr>
        <w:t xml:space="preserve"> QUIJADA-LOVATÓN, Karin. Good practices of basic education teachers during the COVID-19 pandemic. </w:t>
      </w:r>
      <w:r>
        <w:rPr>
          <w:b w:val="1"/>
          <w:bCs w:val="1"/>
          <w:rtl w:val="0"/>
        </w:rPr>
        <w:t xml:space="preserve">Revista Innova Educación</w:t>
      </w:r>
      <w:r>
        <w:rPr>
          <w:rtl w:val="0"/>
        </w:rPr>
        <w:t xml:space="preserve">, v. 3, n. 4, p. 7-27, 2021. DOI: https://doi.org/10.35622/j.rie.2021.04.001.en.</w:t>
      </w:r>
    </w:p>
    <w:p w:rsidR="00000000" w:rsidDel="00000000" w:rsidP="00000000" w:rsidRDefault="00000000" w:rsidRPr="00000000" w14:paraId="0000027A">
      <w:pPr>
        <w:spacing w:line="276" w:lineRule="auto"/>
        <w:jc w:val="both"/>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val="1"/>
          <w:bCs w:val="1"/>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both"/>
        <w:rPr/>
      </w:pPr>
      <w:r w:rsidDel="00000000" w:rsidR="00000000" w:rsidRPr="00000000">
        <w:rPr>
          <w:rtl w:val="0"/>
        </w:rPr>
        <w:t xml:space="preserve"> </w:t>
      </w:r>
    </w:p>
    <w:p w:rsidR="00000000" w:rsidDel="00000000" w:rsidP="00000000" w:rsidRDefault="00000000" w:rsidRPr="00000000" w14:paraId="0000027C">
      <w:pPr>
        <w:spacing w:line="276" w:lineRule="auto"/>
        <w:jc w:val="both"/>
        <w:rPr/>
      </w:pPr>
      <w:r>
        <w:rPr>
          <w:i w:val="1"/>
          <w:iCs w:val="1"/>
          <w:rtl w:val="0"/>
        </w:rPr>
        <w:t xml:space="preserve"> IVANISHCHENKO, Kateryna</w:t>
      </w:r>
      <w:r>
        <w:rPr>
          <w:i w:val="1"/>
          <w:iCs w:val="1"/>
          <w:highlight w:val="yellow"/>
          <w:rtl w:val="0"/>
        </w:rPr>
        <w:t xml:space="preserve">;</w:t>
      </w:r>
      <w:r>
        <w:rPr>
          <w:rtl w:val="0"/>
        </w:rPr>
        <w:t xml:space="preserve"> BUSANA, Gilbert; REUTER, Robert A. P. Understanding factors affecting fundamental school teachers’ use of technology in Luxembourg through a survey study. </w:t>
      </w:r>
      <w:r>
        <w:rPr>
          <w:b w:val="1"/>
          <w:bCs w:val="1"/>
          <w:rtl w:val="0"/>
        </w:rPr>
        <w:t xml:space="preserve">Heliyon</w:t>
      </w:r>
      <w:r>
        <w:rPr>
          <w:rtl w:val="0"/>
        </w:rPr>
        <w:t xml:space="preserve">, v. 10, n. 7, e28704, 2024. DOI: https://doi.org/10.1016/j.heliyon.2024.e28704.</w:t>
      </w:r>
    </w:p>
    <w:p w:rsidR="00000000" w:rsidDel="00000000" w:rsidP="00000000" w:rsidRDefault="00000000" w:rsidRPr="00000000" w14:paraId="0000027D">
      <w:pPr>
        <w:spacing w:line="276" w:lineRule="auto"/>
        <w:jc w:val="both"/>
        <w:rPr/>
      </w:pPr>
      <w:r w:rsidDel="00000000" w:rsidR="00000000" w:rsidRPr="00000000">
        <w:rPr>
          <w:rtl w:val="0"/>
        </w:rPr>
        <w:t xml:space="preserve"> </w:t>
      </w:r>
    </w:p>
    <w:p w:rsidR="00000000" w:rsidDel="00000000" w:rsidP="00000000" w:rsidRDefault="00000000" w:rsidRPr="00000000" w14:paraId="0000027E">
      <w:pPr>
        <w:spacing w:line="276" w:lineRule="auto"/>
        <w:jc w:val="both"/>
        <w:rPr/>
      </w:pPr>
      <w:r>
        <w:rPr>
          <w:i w:val="1"/>
          <w:iCs w:val="1"/>
          <w:rtl w:val="0"/>
        </w:rPr>
        <w:t xml:space="preserve">KARAFERYE, Figen</w:t>
      </w:r>
      <w:r>
        <w:rPr>
          <w:i w:val="1"/>
          <w:iCs w:val="1"/>
          <w:highlight w:val="yellow"/>
          <w:rtl w:val="0"/>
        </w:rPr>
        <w:t xml:space="preserve">.</w:t>
      </w:r>
      <w:r>
        <w:rPr>
          <w:rtl w:val="0"/>
        </w:rPr>
        <w:t xml:space="preserve"> Digital teaching and learning: exploring primary school teachers’ approaches, sources of concern &amp; expectations. </w:t>
      </w:r>
      <w:r>
        <w:rPr>
          <w:b w:val="1"/>
          <w:bCs w:val="1"/>
          <w:rtl w:val="0"/>
        </w:rPr>
        <w:t xml:space="preserve">Journal of Educational Technology and Online Learning</w:t>
      </w:r>
      <w:r>
        <w:rPr>
          <w:rtl w:val="0"/>
        </w:rPr>
        <w:t xml:space="preserve">, v. 5, n. 4, p. 808-824, 2022. DOI: https://doi.org/10.31681/jetol.1156717.</w:t>
      </w:r>
    </w:p>
    <w:p w:rsidR="00000000" w:rsidDel="00000000" w:rsidP="00000000" w:rsidRDefault="00000000" w:rsidRPr="00000000" w14:paraId="0000027F">
      <w:pPr>
        <w:spacing w:line="276" w:lineRule="auto"/>
        <w:jc w:val="both"/>
        <w:rPr/>
      </w:pPr>
      <w:r w:rsidDel="00000000" w:rsidR="00000000" w:rsidRPr="00000000">
        <w:rPr>
          <w:rtl w:val="0"/>
        </w:rPr>
        <w:t xml:space="preserve"> </w:t>
      </w:r>
    </w:p>
    <w:p w:rsidR="00000000" w:rsidDel="00000000" w:rsidP="00000000" w:rsidRDefault="00000000" w:rsidRPr="00000000" w14:paraId="00000280">
      <w:pPr>
        <w:spacing w:line="276" w:lineRule="auto"/>
        <w:jc w:val="both"/>
        <w:rPr/>
      </w:pPr>
      <w:r w:rsidDel="00000000" w:rsidR="00000000" w:rsidRPr="00000000">
        <w:rPr>
          <w:rtl w:val="0"/>
        </w:rPr>
        <w:t xml:space="preserve">KITCHENHAM, Barbara; CHARTERS, Stuart. </w:t>
      </w:r>
      <w:r w:rsidDel="00000000" w:rsidR="00000000" w:rsidRPr="00000000">
        <w:rPr>
          <w:b w:val="1"/>
          <w:bCs w:val="1"/>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both"/>
        <w:rPr/>
      </w:pPr>
      <w:r w:rsidDel="00000000" w:rsidR="00000000" w:rsidRPr="00000000">
        <w:rPr>
          <w:rtl w:val="0"/>
        </w:rPr>
        <w:t xml:space="preserve"> </w:t>
      </w:r>
    </w:p>
    <w:p w:rsidR="00000000" w:rsidDel="00000000" w:rsidP="00000000" w:rsidRDefault="00000000" w:rsidRPr="00000000" w14:paraId="00000282">
      <w:pPr>
        <w:spacing w:line="276" w:lineRule="auto"/>
        <w:jc w:val="both"/>
        <w:rPr/>
      </w:pPr>
      <w:r w:rsidDel="00000000" w:rsidR="00000000" w:rsidRPr="00000000">
        <w:rPr>
          <w:rtl w:val="0"/>
        </w:rPr>
        <w:t xml:space="preserve">LIPSKY, Michael. </w:t>
      </w:r>
      <w:r w:rsidDel="00000000" w:rsidR="00000000" w:rsidRPr="00000000">
        <w:rPr>
          <w:b w:val="1"/>
          <w:bCs w:val="1"/>
          <w:rtl w:val="0"/>
        </w:rPr>
        <w:t xml:space="preserve">Burocracia de nível de rua</w:t>
      </w:r>
      <w:r w:rsidDel="00000000" w:rsidR="00000000" w:rsidRPr="00000000">
        <w:rPr>
          <w:rtl w:val="0"/>
        </w:rPr>
        <w:t xml:space="preserve">: dilemas do indivíduo nos serviços públicos. Edição expandida do 30º aniversário. Tradução de Arthur Eduardo Moura da Cunha. Brasília, DF: Enap, 2019.</w:t>
      </w:r>
    </w:p>
    <w:p w:rsidR="00000000" w:rsidDel="00000000" w:rsidP="00000000" w:rsidRDefault="00000000" w:rsidRPr="00000000" w14:paraId="00000283">
      <w:pPr>
        <w:spacing w:line="276" w:lineRule="auto"/>
        <w:jc w:val="both"/>
        <w:rPr/>
      </w:pPr>
      <w:r w:rsidDel="00000000" w:rsidR="00000000" w:rsidRPr="00000000">
        <w:rPr>
          <w:rtl w:val="0"/>
        </w:rPr>
        <w:t xml:space="preserve"> </w:t>
      </w:r>
    </w:p>
    <w:p w:rsidR="00000000" w:rsidDel="00000000" w:rsidP="00000000" w:rsidRDefault="00000000" w:rsidRPr="00000000" w14:paraId="00000284">
      <w:pPr>
        <w:spacing w:line="276" w:lineRule="auto"/>
        <w:jc w:val="both"/>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val="1"/>
          <w:bCs w:val="1"/>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both"/>
        <w:rPr/>
      </w:pPr>
      <w:r w:rsidDel="00000000" w:rsidR="00000000" w:rsidRPr="00000000">
        <w:rPr>
          <w:rtl w:val="0"/>
        </w:rPr>
        <w:t xml:space="preserve"> </w:t>
      </w:r>
    </w:p>
    <w:p w:rsidR="00000000" w:rsidDel="00000000" w:rsidP="00000000" w:rsidRDefault="00000000" w:rsidRPr="00000000" w14:paraId="00000286">
      <w:pPr>
        <w:spacing w:line="276" w:lineRule="auto"/>
        <w:jc w:val="both"/>
        <w:rPr/>
      </w:pPr>
      <w:r>
        <w:rPr>
          <w:i w:val="1"/>
          <w:iCs w:val="1"/>
          <w:rtl w:val="0"/>
        </w:rPr>
        <w:t xml:space="preserve"> NUNES, Maria das Graças da Silva</w:t>
      </w:r>
      <w:r>
        <w:rPr>
          <w:i w:val="1"/>
          <w:iCs w:val="1"/>
          <w:highlight w:val="yellow"/>
          <w:rtl w:val="0"/>
        </w:rPr>
        <w:t xml:space="preserve">.</w:t>
      </w:r>
      <w:r>
        <w:rPr>
          <w:rtl w:val="0"/>
        </w:rPr>
        <w:t xml:space="preserve"> </w:t>
      </w:r>
      <w:r>
        <w:rPr>
          <w:b w:val="1"/>
          <w:bCs w:val="1"/>
          <w:rtl w:val="0"/>
        </w:rPr>
        <w:t xml:space="preserve">Tecnologias digitais no ciclo de alfabetização</w:t>
      </w:r>
      <w:r>
        <w:rPr>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both"/>
        <w:rPr/>
      </w:pPr>
      <w:r w:rsidDel="00000000" w:rsidR="00000000" w:rsidRPr="00000000">
        <w:rPr>
          <w:rtl w:val="0"/>
        </w:rPr>
        <w:t xml:space="preserve"> </w:t>
      </w:r>
    </w:p>
    <w:p w:rsidR="00000000" w:rsidDel="00000000" w:rsidP="00000000" w:rsidRDefault="00000000" w:rsidRPr="00000000" w14:paraId="00000288">
      <w:pPr>
        <w:spacing w:line="276" w:lineRule="auto"/>
        <w:jc w:val="both"/>
        <w:rPr/>
      </w:pPr>
      <w:r w:rsidDel="00000000" w:rsidR="00000000" w:rsidRPr="00000000">
        <w:rPr>
          <w:rtl w:val="0"/>
        </w:rPr>
        <w:t xml:space="preserve">OCDE. </w:t>
      </w:r>
      <w:r w:rsidDel="00000000" w:rsidR="00000000" w:rsidRPr="00000000">
        <w:rPr>
          <w:b w:val="1"/>
          <w:bCs w:val="1"/>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both"/>
        <w:rPr/>
      </w:pPr>
      <w:r w:rsidDel="00000000" w:rsidR="00000000" w:rsidRPr="00000000">
        <w:rPr>
          <w:rtl w:val="0"/>
        </w:rPr>
        <w:t xml:space="preserve"> </w:t>
      </w:r>
    </w:p>
    <w:p w:rsidR="00000000" w:rsidDel="00000000" w:rsidP="00000000" w:rsidRDefault="00000000" w:rsidRPr="00000000" w14:paraId="0000028A">
      <w:pPr>
        <w:spacing w:line="276" w:lineRule="auto"/>
        <w:jc w:val="both"/>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val="1"/>
          <w:bCs w:val="1"/>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both"/>
        <w:rPr/>
      </w:pPr>
      <w:r w:rsidDel="00000000" w:rsidR="00000000" w:rsidRPr="00000000">
        <w:rPr>
          <w:rtl w:val="0"/>
        </w:rPr>
        <w:t xml:space="preserve"> </w:t>
      </w:r>
    </w:p>
    <w:p w:rsidR="00000000" w:rsidDel="00000000" w:rsidP="00000000" w:rsidRDefault="00000000" w:rsidRPr="00000000" w14:paraId="0000028C">
      <w:pPr>
        <w:spacing w:line="276" w:lineRule="auto"/>
        <w:jc w:val="both"/>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val="1"/>
          <w:bCs w:val="1"/>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both"/>
        <w:rPr/>
      </w:pPr>
      <w:r w:rsidDel="00000000" w:rsidR="00000000" w:rsidRPr="00000000">
        <w:rPr>
          <w:rtl w:val="0"/>
        </w:rPr>
        <w:t xml:space="preserve"> </w:t>
      </w:r>
    </w:p>
    <w:p w:rsidR="00000000" w:rsidDel="00000000" w:rsidP="00000000" w:rsidRDefault="00000000" w:rsidRPr="00000000" w14:paraId="0000028E">
      <w:pPr>
        <w:spacing w:line="276" w:lineRule="auto"/>
        <w:jc w:val="both"/>
        <w:rPr/>
      </w:pPr>
      <w:r w:rsidDel="00000000" w:rsidR="00000000" w:rsidRPr="00000000">
        <w:rPr>
          <w:rtl w:val="0"/>
        </w:rPr>
        <w:t xml:space="preserve">PAGE, Matthew J. et al. A declaração PRISMA 2020: diretriz atualizada para relatar revisões sistemáticas. </w:t>
      </w:r>
      <w:r w:rsidDel="00000000" w:rsidR="00000000" w:rsidRPr="00000000">
        <w:rPr>
          <w:b w:val="1"/>
          <w:bCs w:val="1"/>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both"/>
        <w:rPr/>
      </w:pPr>
      <w:r w:rsidDel="00000000" w:rsidR="00000000" w:rsidRPr="00000000">
        <w:rPr>
          <w:rtl w:val="0"/>
        </w:rPr>
        <w:t xml:space="preserve"> </w:t>
      </w:r>
    </w:p>
    <w:p w:rsidR="00000000" w:rsidDel="00000000" w:rsidP="00000000" w:rsidRDefault="00000000" w:rsidRPr="00000000" w14:paraId="00000290">
      <w:pPr>
        <w:spacing w:line="276" w:lineRule="auto"/>
        <w:jc w:val="both"/>
        <w:rPr/>
      </w:pPr>
      <w:r>
        <w:rPr>
          <w:i w:val="1"/>
          <w:iCs w:val="1"/>
          <w:rtl w:val="0"/>
        </w:rPr>
        <w:t xml:space="preserve"> PAÑOS-CASTRO, Jessica</w:t>
      </w:r>
      <w:r>
        <w:rPr>
          <w:i w:val="1"/>
          <w:iCs w:val="1"/>
          <w:highlight w:val="yellow"/>
          <w:rtl w:val="0"/>
        </w:rPr>
        <w:t xml:space="preserve">;</w:t>
      </w:r>
      <w:r>
        <w:rPr>
          <w:rtl w:val="0"/>
        </w:rPr>
        <w:t xml:space="preserve"> ARRUTI, Arantza; KORRES, Oihane. COVID and ICT in primary education: challenges faced by teachers in the Basque Country. </w:t>
      </w:r>
      <w:r>
        <w:rPr>
          <w:b w:val="1"/>
          <w:bCs w:val="1"/>
          <w:rtl w:val="0"/>
        </w:rPr>
        <w:t xml:space="preserve">Sustainability</w:t>
      </w:r>
      <w:r>
        <w:rPr>
          <w:rtl w:val="0"/>
        </w:rPr>
        <w:t xml:space="preserve">, v. 14, n. 16, art. 10452, 2022. DOI: https://doi.org/10.3390/su141610452.</w:t>
      </w:r>
    </w:p>
    <w:p w:rsidR="00000000" w:rsidDel="00000000" w:rsidP="00000000" w:rsidRDefault="00000000" w:rsidRPr="00000000" w14:paraId="00000291">
      <w:pPr>
        <w:spacing w:line="276" w:lineRule="auto"/>
        <w:jc w:val="both"/>
        <w:rPr/>
      </w:pPr>
      <w:r w:rsidDel="00000000" w:rsidR="00000000" w:rsidRPr="00000000">
        <w:rPr>
          <w:rtl w:val="0"/>
        </w:rPr>
        <w:t xml:space="preserve"> </w:t>
      </w:r>
    </w:p>
    <w:p w:rsidR="00000000" w:rsidDel="00000000" w:rsidP="00000000" w:rsidRDefault="00000000" w:rsidRPr="00000000" w14:paraId="00000292">
      <w:pPr>
        <w:spacing w:line="276" w:lineRule="auto"/>
        <w:jc w:val="both"/>
        <w:rPr/>
      </w:pPr>
      <w:r>
        <w:rPr>
          <w:i w:val="1"/>
          <w:iCs w:val="1"/>
          <w:rtl w:val="0"/>
        </w:rPr>
        <w:t xml:space="preserve">PEREIRA, Max Augusto Franco</w:t>
      </w:r>
      <w:r>
        <w:rPr>
          <w:i w:val="1"/>
          <w:iCs w:val="1"/>
          <w:highlight w:val="yellow"/>
          <w:rtl w:val="0"/>
        </w:rPr>
        <w:t xml:space="preserve">.</w:t>
      </w:r>
      <w:r>
        <w:rPr>
          <w:rtl w:val="0"/>
        </w:rPr>
        <w:t xml:space="preserve"> </w:t>
      </w:r>
      <w:r>
        <w:rPr>
          <w:b w:val="1"/>
          <w:bCs w:val="1"/>
          <w:rtl w:val="0"/>
        </w:rPr>
        <w:t xml:space="preserve">As políticas educacionais para inserção de tecnologias digitais no ensino fundamental em Aracaju</w:t>
      </w:r>
      <w:r>
        <w:rPr>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both"/>
        <w:rPr/>
      </w:pPr>
      <w:r w:rsidDel="00000000" w:rsidR="00000000" w:rsidRPr="00000000">
        <w:rPr>
          <w:rtl w:val="0"/>
        </w:rPr>
        <w:t xml:space="preserve"> </w:t>
      </w:r>
    </w:p>
    <w:p w:rsidR="00000000" w:rsidDel="00000000" w:rsidP="00000000" w:rsidRDefault="00000000" w:rsidRPr="00000000" w14:paraId="00000294">
      <w:pPr>
        <w:spacing w:line="276" w:lineRule="auto"/>
        <w:jc w:val="both"/>
        <w:rPr/>
      </w:pPr>
      <w:r w:rsidDel="00000000" w:rsidR="00000000" w:rsidRPr="00000000">
        <w:rPr>
          <w:rtl w:val="0"/>
        </w:rPr>
        <w:t xml:space="preserve">PRENSKY, Marc. Digital natives, digital immigrants. </w:t>
      </w:r>
      <w:r w:rsidDel="00000000" w:rsidR="00000000" w:rsidRPr="00000000">
        <w:rPr>
          <w:b w:val="1"/>
          <w:bCs w:val="1"/>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both"/>
        <w:rPr/>
      </w:pPr>
      <w:r w:rsidDel="00000000" w:rsidR="00000000" w:rsidRPr="00000000">
        <w:rPr>
          <w:rtl w:val="0"/>
        </w:rPr>
        <w:t xml:space="preserve"> </w:t>
      </w:r>
    </w:p>
    <w:p w:rsidR="00000000" w:rsidDel="00000000" w:rsidP="00000000" w:rsidRDefault="00000000" w:rsidRPr="00000000" w14:paraId="00000296">
      <w:pPr>
        <w:spacing w:line="276" w:lineRule="auto"/>
        <w:jc w:val="both"/>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val="1"/>
          <w:bCs w:val="1"/>
          <w:rtl w:val="0"/>
        </w:rPr>
        <w:t xml:space="preserve">Current Issues in Comparative Education</w:t>
      </w:r>
      <w:r w:rsidDel="00000000" w:rsidR="00000000" w:rsidRPr="00000000">
        <w:rPr>
          <w:rtl w:val="0"/>
        </w:rPr>
        <w:t xml:space="preserve">, Nova York, v. 24, n. 2, p. 204-216, 2022. DOI: </w:t>
      </w:r>
      <w:r w:rsidDel="00000000" w:rsidR="00000000" w:rsidRPr="00000000">
        <w:rPr>
          <w:rtl w:val="0"/>
        </w:rPr>
        <w:t xml:space="preserve">https://doi.org/10.52214/cice.v24i2.9497.</w:t>
      </w:r>
    </w:p>
    <w:p w:rsidR="00000000" w:rsidDel="00000000" w:rsidP="00000000" w:rsidRDefault="00000000" w:rsidRPr="00000000" w14:paraId="00000297">
      <w:pPr>
        <w:spacing w:line="276" w:lineRule="auto"/>
        <w:jc w:val="both"/>
        <w:rPr/>
      </w:pPr>
      <w:r w:rsidDel="00000000" w:rsidR="00000000" w:rsidRPr="00000000">
        <w:rPr>
          <w:rtl w:val="0"/>
        </w:rPr>
        <w:t xml:space="preserve"> </w:t>
      </w:r>
    </w:p>
    <w:p w:rsidR="00000000" w:rsidDel="00000000" w:rsidP="00000000" w:rsidRDefault="00000000" w:rsidRPr="00000000" w14:paraId="00000298">
      <w:pPr>
        <w:spacing w:line="276" w:lineRule="auto"/>
        <w:jc w:val="both"/>
        <w:rPr/>
      </w:pPr>
      <w:r w:rsidDel="00000000" w:rsidR="00000000" w:rsidRPr="00000000">
        <w:rPr>
          <w:rtl w:val="0"/>
        </w:rPr>
        <w:t xml:space="preserve">ROJO, Roxane.</w:t>
      </w:r>
      <w:r w:rsidDel="00000000" w:rsidR="00000000" w:rsidRPr="00000000">
        <w:rPr>
          <w:rtl w:val="0"/>
        </w:rPr>
        <w:t xml:space="preserve"> </w:t>
      </w:r>
      <w:r w:rsidDel="00000000" w:rsidR="00000000" w:rsidRPr="00000000">
        <w:rPr>
          <w:rtl w:val="0"/>
        </w:rPr>
        <w:t xml:space="preserve">Gêneros discursivos do Círculo de Bakhtin e multiletramentos.</w:t>
      </w:r>
      <w:r w:rsidDel="00000000" w:rsidR="00000000" w:rsidRPr="00000000">
        <w:rPr>
          <w:rtl w:val="0"/>
        </w:rPr>
        <w:t xml:space="preserve"> In: ROJO, Roxane (org.). </w:t>
      </w:r>
      <w:r w:rsidDel="00000000" w:rsidR="00000000" w:rsidRPr="00000000">
        <w:rPr>
          <w:b w:val="1"/>
          <w:bCs w:val="1"/>
          <w:rtl w:val="0"/>
        </w:rPr>
        <w:t xml:space="preserve">Escol@ conectada</w:t>
      </w:r>
      <w:r w:rsidDel="00000000" w:rsidR="00000000" w:rsidRPr="00000000">
        <w:rPr>
          <w:rtl w:val="0"/>
        </w:rPr>
        <w:t xml:space="preserve">: os multiletramentos e as TICs. São Paulo: </w:t>
      </w:r>
      <w:r w:rsidDel="00000000" w:rsidR="00000000" w:rsidRPr="00000000">
        <w:rPr>
          <w:rtl w:val="0"/>
        </w:rPr>
        <w:t xml:space="preserve">Parábola, 2013. p. 13-36.</w:t>
      </w:r>
    </w:p>
    <w:p w:rsidR="00000000" w:rsidDel="00000000" w:rsidP="00000000" w:rsidRDefault="00000000" w:rsidRPr="00000000" w14:paraId="00000299">
      <w:pPr>
        <w:spacing w:line="276" w:lineRule="auto"/>
        <w:jc w:val="both"/>
        <w:rPr/>
      </w:pPr>
      <w:r w:rsidDel="00000000" w:rsidR="00000000" w:rsidRPr="00000000">
        <w:rPr>
          <w:rtl w:val="0"/>
        </w:rPr>
        <w:t xml:space="preserve"> </w:t>
      </w:r>
    </w:p>
    <w:p w:rsidR="00000000" w:rsidDel="00000000" w:rsidP="00000000" w:rsidRDefault="00000000" w:rsidRPr="00000000" w14:paraId="0000029A">
      <w:pPr>
        <w:spacing w:line="276" w:lineRule="auto"/>
        <w:jc w:val="both"/>
        <w:rPr/>
      </w:pPr>
      <w:r w:rsidDel="00000000" w:rsidR="00000000" w:rsidRPr="00000000">
        <w:rPr>
          <w:rtl w:val="0"/>
        </w:rPr>
        <w:t xml:space="preserve">SOJA, Edward W. </w:t>
      </w:r>
      <w:r w:rsidDel="00000000" w:rsidR="00000000" w:rsidRPr="00000000">
        <w:rPr>
          <w:b w:val="1"/>
          <w:bCs w:val="1"/>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both"/>
        <w:rPr/>
      </w:pPr>
      <w:r w:rsidDel="00000000" w:rsidR="00000000" w:rsidRPr="00000000">
        <w:rPr>
          <w:rtl w:val="0"/>
        </w:rPr>
        <w:t xml:space="preserve"> </w:t>
      </w:r>
    </w:p>
    <w:p w:rsidR="00000000" w:rsidDel="00000000" w:rsidP="00000000" w:rsidRDefault="00000000" w:rsidRPr="00000000" w14:paraId="0000029C">
      <w:pPr>
        <w:spacing w:line="276" w:lineRule="auto"/>
        <w:jc w:val="both"/>
        <w:rPr/>
      </w:pPr>
      <w:r w:rsidDel="00000000" w:rsidR="00000000" w:rsidRPr="00000000">
        <w:rPr>
          <w:rtl w:val="0"/>
        </w:rPr>
        <w:t xml:space="preserve">THOMAS, James; HARDEN, Angela. Methods for the thematic synthesis of qualitative research in systematic reviews. </w:t>
      </w:r>
      <w:r w:rsidDel="00000000" w:rsidR="00000000" w:rsidRPr="00000000">
        <w:rPr>
          <w:b w:val="1"/>
          <w:bCs w:val="1"/>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both"/>
        <w:rPr/>
      </w:pPr>
      <w:r w:rsidDel="00000000" w:rsidR="00000000" w:rsidRPr="00000000">
        <w:rPr>
          <w:rtl w:val="0"/>
        </w:rPr>
        <w:t xml:space="preserve"> </w:t>
      </w:r>
    </w:p>
    <w:p w:rsidR="00000000" w:rsidDel="00000000" w:rsidP="00000000" w:rsidRDefault="00000000" w:rsidRPr="00000000" w14:paraId="0000029E">
      <w:pPr>
        <w:spacing w:line="276" w:lineRule="auto"/>
        <w:jc w:val="both"/>
        <w:rPr/>
      </w:pPr>
      <w:r>
        <w:rPr>
          <w:i w:val="1"/>
          <w:iCs w:val="1"/>
          <w:rtl w:val="0"/>
        </w:rPr>
        <w:t xml:space="preserve">TUSSI, Graziela Bergonsi</w:t>
      </w:r>
      <w:r>
        <w:rPr>
          <w:i w:val="1"/>
          <w:iCs w:val="1"/>
          <w:highlight w:val="yellow"/>
          <w:rtl w:val="0"/>
        </w:rPr>
        <w:t xml:space="preserve">.</w:t>
      </w:r>
      <w:r>
        <w:rPr>
          <w:rtl w:val="0"/>
        </w:rPr>
        <w:t xml:space="preserve"> </w:t>
      </w:r>
      <w:r>
        <w:rPr>
          <w:b w:val="1"/>
          <w:bCs w:val="1"/>
          <w:rtl w:val="0"/>
        </w:rPr>
        <w:t xml:space="preserve">Caminhos metodológicos para a construção de uma política pública de computação no município de Passo Fundo – RS</w:t>
      </w:r>
      <w:r>
        <w:rPr>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both"/>
        <w:rPr/>
      </w:pPr>
      <w:r w:rsidDel="00000000" w:rsidR="00000000" w:rsidRPr="00000000">
        <w:rPr>
          <w:rtl w:val="0"/>
        </w:rPr>
        <w:t xml:space="preserve"> </w:t>
      </w:r>
    </w:p>
    <w:p w:rsidR="00000000" w:rsidDel="00000000" w:rsidP="00000000" w:rsidRDefault="00000000" w:rsidRPr="00000000" w14:paraId="000002A0">
      <w:pPr>
        <w:spacing w:line="276" w:lineRule="auto"/>
        <w:jc w:val="both"/>
        <w:rPr/>
      </w:pPr>
      <w:r w:rsidDel="00000000" w:rsidR="00000000" w:rsidRPr="00000000">
        <w:rPr>
          <w:rtl w:val="0"/>
        </w:rPr>
        <w:t xml:space="preserve">UNESCO. </w:t>
      </w:r>
      <w:r w:rsidDel="00000000" w:rsidR="00000000" w:rsidRPr="00000000">
        <w:rPr>
          <w:b w:val="1"/>
          <w:bCs w:val="1"/>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both"/>
        <w:rPr/>
      </w:pPr>
      <w:r w:rsidDel="00000000" w:rsidR="00000000" w:rsidRPr="00000000">
        <w:rPr>
          <w:rtl w:val="0"/>
        </w:rPr>
        <w:t xml:space="preserve"> </w:t>
      </w:r>
    </w:p>
    <w:p w:rsidR="00000000" w:rsidDel="00000000" w:rsidP="00000000" w:rsidRDefault="00000000" w:rsidRPr="00000000" w14:paraId="000002A2">
      <w:pPr>
        <w:spacing w:line="276" w:lineRule="auto"/>
        <w:jc w:val="both"/>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val="1"/>
          <w:bCs w:val="1"/>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both"/>
        <w:rPr/>
      </w:pPr>
      <w:r w:rsidDel="00000000" w:rsidR="00000000" w:rsidRPr="00000000">
        <w:rPr>
          <w:rtl w:val="0"/>
        </w:rPr>
        <w:t xml:space="preserve"> </w:t>
      </w:r>
    </w:p>
    <w:p w:rsidR="00000000" w:rsidDel="00000000" w:rsidP="00000000" w:rsidRDefault="00000000" w:rsidRPr="00000000" w14:paraId="000002A4">
      <w:pPr>
        <w:spacing w:line="276" w:lineRule="auto"/>
        <w:jc w:val="both"/>
        <w:rPr/>
      </w:pPr>
      <w:r>
        <w:rPr>
          <w:i w:val="1"/>
          <w:iCs w:val="1"/>
          <w:rtl w:val="0"/>
        </w:rPr>
        <w:t xml:space="preserve">WILLIAMS, Kate Maloney</w:t>
      </w:r>
      <w:r>
        <w:rPr>
          <w:i w:val="1"/>
          <w:iCs w:val="1"/>
          <w:highlight w:val="yellow"/>
          <w:rtl w:val="0"/>
        </w:rPr>
        <w:t xml:space="preserve">.</w:t>
      </w:r>
      <w:r>
        <w:rPr>
          <w:rtl w:val="0"/>
        </w:rPr>
        <w:t xml:space="preserve"> Exploring new literacies: a case study on technology and teacher development in Cuban primary schools. </w:t>
      </w:r>
      <w:r>
        <w:rPr>
          <w:b w:val="1"/>
          <w:bCs w:val="1"/>
          <w:rtl w:val="0"/>
        </w:rPr>
        <w:t xml:space="preserve">Journal of Media Literacy Education</w:t>
      </w:r>
      <w:r>
        <w:rPr>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4285714285716"/>
        <w:gridCol w:w="1296.4285714285716"/>
        <w:gridCol w:w="1296.4285714285716"/>
        <w:gridCol w:w="1296.4285714285716"/>
        <w:gridCol w:w="1296.4285714285716"/>
        <w:gridCol w:w="1296.4285714285716"/>
        <w:gridCol w:w="1296.4285714285716"/>
        <w:tblGridChange w:id="0">
          <w:tblGrid>
            <w:gridCol w:w="1296.4285714285716"/>
            <w:gridCol w:w="1296.4285714285716"/>
            <w:gridCol w:w="1296.4285714285716"/>
            <w:gridCol w:w="1296.4285714285716"/>
            <w:gridCol w:w="1296.4285714285716"/>
            <w:gridCol w:w="1296.4285714285716"/>
            <w:gridCol w:w="1296.428571428571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