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(30 slides; 21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Cada slide tem duas partes. A fala, na caixa azul, é o texto para dizer em voz alta, com o tempo previsto e o tempo acumulado. O estudo dirigido, logo abaixo,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2893 palavras, cerca de 23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09:10; fim do slide 17 por volta de 15:25; fim do slide 25 por volta de 22:10.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05:45</w:t>
            </w:r>
          </w:p>
        </w:tc>
        <w:tc>
          <w:tcPr>
            <w:tcW w:type="dxa" w:w="2408"/>
          </w:tcPr>
          <w:p>
            <w:r>
              <w:t>06:40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09:10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11-14</w:t>
            </w:r>
          </w:p>
        </w:tc>
        <w:tc>
          <w:tcPr>
            <w:tcW w:type="dxa" w:w="2408"/>
          </w:tcPr>
          <w:p>
            <w:r>
              <w:t>04:15</w:t>
            </w:r>
          </w:p>
        </w:tc>
        <w:tc>
          <w:tcPr>
            <w:tcW w:type="dxa" w:w="2408"/>
          </w:tcPr>
          <w:p>
            <w:r>
              <w:t>13:25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15-17</w:t>
            </w:r>
          </w:p>
        </w:tc>
        <w:tc>
          <w:tcPr>
            <w:tcW w:type="dxa" w:w="2408"/>
          </w:tcPr>
          <w:p>
            <w:r>
              <w:t>02:00</w:t>
            </w:r>
          </w:p>
        </w:tc>
        <w:tc>
          <w:tcPr>
            <w:tcW w:type="dxa" w:w="2408"/>
          </w:tcPr>
          <w:p>
            <w:r>
              <w:t>15:25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18-21</w:t>
            </w:r>
          </w:p>
        </w:tc>
        <w:tc>
          <w:tcPr>
            <w:tcW w:type="dxa" w:w="2408"/>
          </w:tcPr>
          <w:p>
            <w:r>
              <w:t>03:50</w:t>
            </w:r>
          </w:p>
        </w:tc>
        <w:tc>
          <w:tcPr>
            <w:tcW w:type="dxa" w:w="2408"/>
          </w:tcPr>
          <w:p>
            <w:r>
              <w:t>19:15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22-25</w:t>
            </w:r>
          </w:p>
        </w:tc>
        <w:tc>
          <w:tcPr>
            <w:tcW w:type="dxa" w:w="2408"/>
          </w:tcPr>
          <w:p>
            <w:r>
              <w:t>02:55</w:t>
            </w:r>
          </w:p>
        </w:tc>
        <w:tc>
          <w:tcPr>
            <w:tcW w:type="dxa" w:w="2408"/>
          </w:tcPr>
          <w:p>
            <w:r>
              <w:t>22:10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26-28</w:t>
            </w:r>
          </w:p>
        </w:tc>
        <w:tc>
          <w:tcPr>
            <w:tcW w:type="dxa" w:w="2408"/>
          </w:tcPr>
          <w:p>
            <w:r>
              <w:t>02:50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29-30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25, 26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16, 17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3, 16, 23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60 s  ·  ao final: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60 s  ·  ao final: 02:55</w:t>
      </w:r>
    </w:p>
    <w:p>
      <w:r>
        <w:rPr>
          <w:i/>
          <w:color w:val="555555"/>
        </w:rPr>
        <w:t>[Ler a pergunta devagar, acompanhando a lâmina. Pausa antes da última frase.]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pesquisa. Como a Política Nacional de Educação Digital é recontextualizada pela Secretaria Municipal de Educação de Tibau do Sul, num território que reúne áreas urbanas e rurais, povoados com realidades distintas e uma comunidade quilombola, e como essa recontextualização chega à Escola Municipal Domitila Castelo da Silva, em Pipa, onde os profissionais a encenam, atravessados pelas culturas profissionais, pelas condições materiais e institucionais da escola e pelas especificidades do lugar? Ainda não sabemos se a PNED será acolhida, adaptada, posta de lado ou contestada. A resistência, que está no título, é uma possibilidade a examinar nos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Pergunta como a PNED é encenada e recontextualizada e como culturas profissionais, condições da escola e território atravessam esse processo, produzindo formas de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Citação opcional de Hall: </w:t>
      </w:r>
      <w:r>
        <w:t>"devem aprender a habitar, no mínimo, duas identidades, a falar duas linguagens culturais, a traduzir e a negociar entre elas" (HALL, 2006, p. 89). Hall trata de diáspora, não de política educacional: a aproximação com a encenação é nossa e precisa ser dita.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89), se a citação for usada.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105 s  ·  ao final: 04:40</w:t>
      </w:r>
    </w:p>
    <w:p>
      <w:r>
        <w:rPr>
          <w:i/>
          <w:color w:val="555555"/>
        </w:rPr>
        <w:t>[Cada cartão tem um rótulo: do município a Pipa, interpretação, condições e território, formas de atuação e crianças. Destacar os verbos: analisar, compreender, examinar, identificar.]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 faz o caminho do município a Pipa: analisar a recontextualização da PNED pela Secretaria em planos, currículos, formações e orientações, considerando as especificidades das localidades, entre elas as áreas rurais e a comunidade quilombola de Sibaúma, até chegar a Pipa.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Um objetivo geral e quatro específicos, em funil: do município a Pipa,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Do município a Pipa (obj. a): </w:t>
      </w:r>
      <w:r>
        <w:t>Analisar a recontextualização da PNED pela SME em planos, currículos, formações e orientações, considerando as localidades (áreas rurais, comunidade quilombola de Sibaúma), até chegar a Pipa. É onde a dimensão externa do contexto ganha fonte própria.</w:t>
      </w:r>
    </w:p>
    <w:p>
      <w:pPr>
        <w:pStyle w:val="ListBullet"/>
      </w:pPr>
      <w:r>
        <w:rPr>
          <w:b/>
        </w:rPr>
        <w:t xml:space="preserve">Interpretação (obj. b):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c):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e crianças (obj. d): </w:t>
      </w:r>
      <w:r>
        <w:t>Identificar as formas de atuação, da adesão à resistência, e suas implicações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Analisar, compreender, examinar, identificar: um verbo por objetivo.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Em que capítulo cada objetivo é respondido? (a: caps. 6 e 7; b, c, d: cap. 7 com as narrativas; Quadro 9 do cap. 4).</w:t>
      </w:r>
    </w:p>
    <w:p>
      <w:pPr>
        <w:pStyle w:val="ListBullet"/>
      </w:pPr>
      <w:r>
        <w:rPr>
          <w:i/>
        </w:rPr>
        <w:t>Por que o objetivo (a) não ouve outras escolas? (a rede entra por documentos, dados e o técnico da SME).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60 s  ·  ao final: 06:40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09:10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10:45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80 s  ·  ao final: 12:05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</w:t>
      </w:r>
    </w:p>
    <w:p>
      <w:r>
        <w:rPr>
          <w:color w:val="555555"/>
          <w:sz w:val="20"/>
        </w:rPr>
        <w:t>80 s  ·  ao final: 13:25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Território, lugar e a formulação própria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Habitar: </w:t>
      </w:r>
      <w:r>
        <w:t>"Tem o significado de estar presente" e "natureza relacional" (SCHLEMMER; BACKES; PALAGI, 2021, p. 15); Educação OnLIFE (p. 24); habitar como prática comunicativa (p. 17).</w:t>
      </w:r>
    </w:p>
    <w:p>
      <w:pPr>
        <w:pStyle w:val="ListBullet"/>
      </w:pPr>
      <w:r>
        <w:rPr>
          <w:b/>
        </w:rPr>
        <w:t xml:space="preserve">Habitar atópico e ecossistemas informativos: </w:t>
      </w:r>
      <w:r>
        <w:t>Habitar realizado por interfaces, em rede (DI FELICE, 2009, p. 20, citação indireta). Escrita artificial e "novo modo de habitar" (p. 102).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</w:t>
      </w:r>
    </w:p>
    <w:p>
      <w:pPr>
        <w:pStyle w:val="ListBullet"/>
      </w:pPr>
      <w:r>
        <w:rPr>
          <w:b/>
        </w:rPr>
        <w:t xml:space="preserve">Plataformas, dados e solucionismo: </w:t>
      </w:r>
      <w:r>
        <w:t>Capitalismo de vigilância (ZUBOFF, 2021, n. p.); privacidade como adversária do mercado de dados (SILVEIRA, 2017, p. 34); solucionismo (MOROZOV, 2018, p. 64, 88, 110); sujeitos como "produtores ativos de cultura" (PRETTO; CORDEIRO; OLIVEIRA, 2013, p. 35). Contexto teórico, sem virar categoria de análise; entra pelo Eixo 6 da entrevista.</w:t>
      </w:r>
    </w:p>
    <w:p>
      <w:r>
        <w:rPr>
          <w:b/>
        </w:rPr>
        <w:t xml:space="preserve">Autores e obras: </w:t>
      </w:r>
      <w:r>
        <w:t>Santos (1999; 2006); Massey (2008); Schlemmer, Backes e Palagi (2021); Di Felice (2009);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3, seções 3.6 e 3.6.1; Cap. 6, seção 6.4.2 (as formas de habitar o digital em Pipa).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sinônimo de inclusão digital? (não: vai além de acesso e posse, 3.6).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15 · Divisor: Metodologia</w:t>
      </w:r>
    </w:p>
    <w:p>
      <w:r>
        <w:rPr>
          <w:color w:val="555555"/>
          <w:sz w:val="20"/>
        </w:rPr>
        <w:t>10 s  ·  ao final: 13:35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16 · Desenho e participantes</w:t>
      </w:r>
    </w:p>
    <w:p>
      <w:r>
        <w:rPr>
          <w:color w:val="555555"/>
          <w:sz w:val="20"/>
        </w:rPr>
        <w:t>55 s  ·  ao final: 14:30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17 · Construção dos dados</w:t>
      </w:r>
    </w:p>
    <w:p>
      <w:r>
        <w:rPr>
          <w:color w:val="555555"/>
          <w:sz w:val="20"/>
        </w:rPr>
        <w:t>55 s  ·  ao final: 15:25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18 · Divisor: Agenda global e PNED</w:t>
      </w:r>
    </w:p>
    <w:p>
      <w:r>
        <w:rPr>
          <w:color w:val="555555"/>
          <w:sz w:val="20"/>
        </w:rPr>
        <w:t>10 s  ·  ao final: 15:35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19 · O que outros territórios nos ensinam</w:t>
      </w:r>
    </w:p>
    <w:p>
      <w:r>
        <w:rPr>
          <w:color w:val="555555"/>
          <w:sz w:val="20"/>
        </w:rPr>
        <w:t>65 s  ·  ao final: 16:40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20 · O que a comparação traz para a tese</w:t>
      </w:r>
    </w:p>
    <w:p>
      <w:r>
        <w:rPr>
          <w:color w:val="555555"/>
          <w:sz w:val="20"/>
        </w:rPr>
        <w:t>70 s  ·  ao final: 17:50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21 · A PNED e o vazio material</w:t>
      </w:r>
    </w:p>
    <w:p>
      <w:r>
        <w:rPr>
          <w:color w:val="555555"/>
          <w:sz w:val="20"/>
        </w:rPr>
        <w:t>85 s  ·  ao final: 19:15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22 · Divisor: Do município à escola</w:t>
      </w:r>
    </w:p>
    <w:p>
      <w:r>
        <w:rPr>
          <w:color w:val="555555"/>
          <w:sz w:val="20"/>
        </w:rPr>
        <w:t>10 s  ·  ao final: 19:25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23 · Tibau do Sul</w:t>
      </w:r>
    </w:p>
    <w:p>
      <w:r>
        <w:rPr>
          <w:color w:val="555555"/>
          <w:sz w:val="20"/>
        </w:rPr>
        <w:t>70 s  ·  ao final: 20:35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(objetivo 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24 · Pipa</w:t>
      </w:r>
    </w:p>
    <w:p>
      <w:r>
        <w:rPr>
          <w:color w:val="555555"/>
          <w:sz w:val="20"/>
        </w:rPr>
        <w:t>45 s  ·  ao final: 21:20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25 · A escola</w:t>
      </w:r>
    </w:p>
    <w:p>
      <w:r>
        <w:rPr>
          <w:color w:val="555555"/>
          <w:sz w:val="20"/>
        </w:rPr>
        <w:t>50 s  ·  ao final: 22:10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26 · Tese de partida e formulações</w:t>
      </w:r>
    </w:p>
    <w:p>
      <w:r>
        <w:rPr>
          <w:color w:val="555555"/>
          <w:sz w:val="20"/>
        </w:rPr>
        <w:t>85 s  ·  ao final: 23:35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27 · A questão aberta e os próximos passos</w:t>
      </w:r>
    </w:p>
    <w:p>
      <w:r>
        <w:rPr>
          <w:color w:val="555555"/>
          <w:sz w:val="20"/>
        </w:rPr>
        <w:t>70 s  ·  ao final: 24:45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Termino com a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 Para respondê-la, os próximos passos são submeter a emenda ao Comitê de Ética, com a Secretaria como coparticipante, realizar o campo em dez semanas, completar a análise documental, com os documentos já solicitados à direção da escola e ao técnico da Secretaria, e escrever o capítulo 7, incorporando as contribuições desta banca.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pPr>
        <w:pStyle w:val="ListBullet"/>
      </w:pPr>
      <w:r>
        <w:rPr>
          <w:b/>
        </w:rPr>
        <w:t xml:space="preserve">Próximos passos: </w:t>
      </w:r>
      <w:r>
        <w:t>Emenda ao CEP; campo; análise documental (documentos já solicitados à direção e ao técnico da Secretaria); capítulo 7.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28 · Agradecimento</w:t>
      </w:r>
    </w:p>
    <w:p>
      <w:r>
        <w:rPr>
          <w:color w:val="555555"/>
          <w:sz w:val="20"/>
        </w:rPr>
        <w:t>15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29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30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19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20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23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21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27):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