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ROTEIRO DE FALA E ESTUDO DIRIGIDO DA QUALIFICAÇÃO</w:t>
      </w:r>
    </w:p>
    <w:p>
      <w:pPr>
        <w:jc w:val="center"/>
      </w:pPr>
      <w:r>
        <w:rPr>
          <w:i/>
        </w:rPr>
        <w:t>A encenação da PNED em Tibau do Sul/RN: da Secretaria Municipal de Educação à escola de Pipa, entre culturas profissionais, território e resistências</w:t>
        <w:br/>
      </w:r>
      <w:r>
        <w:t>Yzynya Silva Rezende Machado · Orientadora: Profa. Dra. Maria Cristina Leandro de Paiva</w:t>
        <w:br/>
        <w:t>Apresentação: Qualificacao_PNED_Pipa.pptx (32 slides; 23 de conteúdo) · Duração prevista: 25 minutos</w:t>
      </w:r>
    </w:p>
    <w:p>
      <w:pPr>
        <w:pStyle w:val="Heading1"/>
      </w:pPr>
      <w:r>
        <w:t>Como usar</w:t>
      </w:r>
    </w:p>
    <w:p>
      <w:pPr>
        <w:pStyle w:val="ListBullet"/>
      </w:pPr>
      <w:r>
        <w:t>No início, um mapa conceitual de toda a apresentação. Cada slide tem duas partes. A fala, na caixa azul, é o texto para dizer em voz alta, com o tempo previsto e o tempo acumulado. O estudo dirigido, logo abaixo, começa pelo mapa conceitual do slide e reúne a ideia central, os conceitos com a explicação que a tese adota, os autores e as páginas citadas, onde aprofundar na tese, perguntas de estudo (com a pista de resposta entre parênteses) e, quando houver, o cuidado sobre o que é fato, estimativa ou ainda a conferir.</w:t>
      </w:r>
    </w:p>
    <w:p>
      <w:pPr>
        <w:pStyle w:val="ListBullet"/>
      </w:pPr>
      <w:r>
        <w:t>A fala soma 3087 palavras, cerca de 25 minutos a 125 palavras por minuto, ritmo pausado. O restante dos 25 minutos fica para trocas de slide, pausas e o tempo de apontar fotos e mapa.</w:t>
      </w:r>
    </w:p>
    <w:p>
      <w:pPr>
        <w:pStyle w:val="ListBullet"/>
      </w:pPr>
      <w:r>
        <w:t>Pontos de controle: fim do slide 10 por volta de 08:40; fim do slide 18 por volta de 15:13; fim do slide 26 por volta de 21:48.</w:t>
      </w:r>
    </w:p>
    <w:p>
      <w:pPr>
        <w:pStyle w:val="ListBullet"/>
      </w:pPr>
      <w:r>
        <w:t>Indicações de cena aparecem em itálico, entre colchetes, e não devem ser lidas.</w:t>
      </w:r>
    </w:p>
    <w:p>
      <w:pPr>
        <w:pStyle w:val="ListBullet"/>
      </w:pPr>
      <w:r>
        <w:t>O conteúdo foi tirado dos capítulos e do projeto. Nenhuma página ou dado foi acrescentado fora do que está na tese; o que ainda precisa ser conferido está marcado e reunido no fim.</w:t>
      </w:r>
    </w:p>
    <w:p>
      <w:pPr>
        <w:pStyle w:val="ListBullet"/>
      </w:pPr>
      <w:r>
        <w:t>Sugestão de estudo: leia a fala em voz alta com cronômetro; depois, sem olhar, responda às perguntas de estudo do slide; por fim, abra a seção indicada em "Onde aprofundar" para os pontos em que hesitou.</w:t>
      </w:r>
    </w:p>
    <w:p>
      <w:pPr>
        <w:pStyle w:val="Heading1"/>
      </w:pPr>
      <w:r>
        <w:t>Mapa do tempo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Bloco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Tempo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Acumulado</w:t>
            </w:r>
          </w:p>
        </w:tc>
      </w:tr>
      <w:tr>
        <w:tc>
          <w:tcPr>
            <w:tcW w:type="dxa" w:w="2408"/>
          </w:tcPr>
          <w:p>
            <w:r>
              <w:t>Abertura</w:t>
            </w:r>
          </w:p>
        </w:tc>
        <w:tc>
          <w:tcPr>
            <w:tcW w:type="dxa" w:w="2408"/>
          </w:tcPr>
          <w:p>
            <w:r>
              <w:t>1-2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  <w:tc>
          <w:tcPr>
            <w:tcW w:type="dxa" w:w="2408"/>
          </w:tcPr>
          <w:p>
            <w:r>
              <w:t>00:55</w:t>
            </w:r>
          </w:p>
        </w:tc>
      </w:tr>
      <w:tr>
        <w:tc>
          <w:tcPr>
            <w:tcW w:type="dxa" w:w="2408"/>
          </w:tcPr>
          <w:p>
            <w:r>
              <w:t>Objeto, questão, objetivos e relevâncias</w:t>
            </w:r>
          </w:p>
        </w:tc>
        <w:tc>
          <w:tcPr>
            <w:tcW w:type="dxa" w:w="2408"/>
          </w:tcPr>
          <w:p>
            <w:r>
              <w:t>3-7</w:t>
            </w:r>
          </w:p>
        </w:tc>
        <w:tc>
          <w:tcPr>
            <w:tcW w:type="dxa" w:w="2408"/>
          </w:tcPr>
          <w:p>
            <w:r>
              <w:t>05:15</w:t>
            </w:r>
          </w:p>
        </w:tc>
        <w:tc>
          <w:tcPr>
            <w:tcW w:type="dxa" w:w="2408"/>
          </w:tcPr>
          <w:p>
            <w:r>
              <w:t>06:10</w:t>
            </w:r>
          </w:p>
        </w:tc>
      </w:tr>
      <w:tr>
        <w:tc>
          <w:tcPr>
            <w:tcW w:type="dxa" w:w="2408"/>
          </w:tcPr>
          <w:p>
            <w:r>
              <w:t>Revisão sistemática</w:t>
            </w:r>
          </w:p>
        </w:tc>
        <w:tc>
          <w:tcPr>
            <w:tcW w:type="dxa" w:w="2408"/>
          </w:tcPr>
          <w:p>
            <w:r>
              <w:t>8-10</w:t>
            </w:r>
          </w:p>
        </w:tc>
        <w:tc>
          <w:tcPr>
            <w:tcW w:type="dxa" w:w="2408"/>
          </w:tcPr>
          <w:p>
            <w:r>
              <w:t>02:30</w:t>
            </w:r>
          </w:p>
        </w:tc>
        <w:tc>
          <w:tcPr>
            <w:tcW w:type="dxa" w:w="2408"/>
          </w:tcPr>
          <w:p>
            <w:r>
              <w:t>08:40</w:t>
            </w:r>
          </w:p>
        </w:tc>
      </w:tr>
      <w:tr>
        <w:tc>
          <w:tcPr>
            <w:tcW w:type="dxa" w:w="2408"/>
          </w:tcPr>
          <w:p>
            <w:r>
              <w:t>Fundamentos teóricos</w:t>
            </w:r>
          </w:p>
        </w:tc>
        <w:tc>
          <w:tcPr>
            <w:tcW w:type="dxa" w:w="2408"/>
          </w:tcPr>
          <w:p>
            <w:r>
              <w:t>11-15</w:t>
            </w:r>
          </w:p>
        </w:tc>
        <w:tc>
          <w:tcPr>
            <w:tcW w:type="dxa" w:w="2408"/>
          </w:tcPr>
          <w:p>
            <w:r>
              <w:t>04:43</w:t>
            </w:r>
          </w:p>
        </w:tc>
        <w:tc>
          <w:tcPr>
            <w:tcW w:type="dxa" w:w="2408"/>
          </w:tcPr>
          <w:p>
            <w:r>
              <w:t>13:23</w:t>
            </w:r>
          </w:p>
        </w:tc>
      </w:tr>
      <w:tr>
        <w:tc>
          <w:tcPr>
            <w:tcW w:type="dxa" w:w="2408"/>
          </w:tcPr>
          <w:p>
            <w:r>
              <w:t>Metodologia</w:t>
            </w:r>
          </w:p>
        </w:tc>
        <w:tc>
          <w:tcPr>
            <w:tcW w:type="dxa" w:w="2408"/>
          </w:tcPr>
          <w:p>
            <w:r>
              <w:t>16-18</w:t>
            </w:r>
          </w:p>
        </w:tc>
        <w:tc>
          <w:tcPr>
            <w:tcW w:type="dxa" w:w="2408"/>
          </w:tcPr>
          <w:p>
            <w:r>
              <w:t>01:50</w:t>
            </w:r>
          </w:p>
        </w:tc>
        <w:tc>
          <w:tcPr>
            <w:tcW w:type="dxa" w:w="2408"/>
          </w:tcPr>
          <w:p>
            <w:r>
              <w:t>15:13</w:t>
            </w:r>
          </w:p>
        </w:tc>
      </w:tr>
      <w:tr>
        <w:tc>
          <w:tcPr>
            <w:tcW w:type="dxa" w:w="2408"/>
          </w:tcPr>
          <w:p>
            <w:r>
              <w:t>Agenda global e PNED</w:t>
            </w:r>
          </w:p>
        </w:tc>
        <w:tc>
          <w:tcPr>
            <w:tcW w:type="dxa" w:w="2408"/>
          </w:tcPr>
          <w:p>
            <w:r>
              <w:t>19-22</w:t>
            </w:r>
          </w:p>
        </w:tc>
        <w:tc>
          <w:tcPr>
            <w:tcW w:type="dxa" w:w="2408"/>
          </w:tcPr>
          <w:p>
            <w:r>
              <w:t>03:50</w:t>
            </w:r>
          </w:p>
        </w:tc>
        <w:tc>
          <w:tcPr>
            <w:tcW w:type="dxa" w:w="2408"/>
          </w:tcPr>
          <w:p>
            <w:r>
              <w:t>19:03</w:t>
            </w:r>
          </w:p>
        </w:tc>
      </w:tr>
      <w:tr>
        <w:tc>
          <w:tcPr>
            <w:tcW w:type="dxa" w:w="2408"/>
          </w:tcPr>
          <w:p>
            <w:r>
              <w:t>Do município à escola</w:t>
            </w:r>
          </w:p>
        </w:tc>
        <w:tc>
          <w:tcPr>
            <w:tcW w:type="dxa" w:w="2408"/>
          </w:tcPr>
          <w:p>
            <w:r>
              <w:t>23-26</w:t>
            </w:r>
          </w:p>
        </w:tc>
        <w:tc>
          <w:tcPr>
            <w:tcW w:type="dxa" w:w="2408"/>
          </w:tcPr>
          <w:p>
            <w:r>
              <w:t>02:45</w:t>
            </w:r>
          </w:p>
        </w:tc>
        <w:tc>
          <w:tcPr>
            <w:tcW w:type="dxa" w:w="2408"/>
          </w:tcPr>
          <w:p>
            <w:r>
              <w:t>21:48</w:t>
            </w:r>
          </w:p>
        </w:tc>
      </w:tr>
      <w:tr>
        <w:tc>
          <w:tcPr>
            <w:tcW w:type="dxa" w:w="2408"/>
          </w:tcPr>
          <w:p>
            <w:r>
              <w:t>Tese e encerramento</w:t>
            </w:r>
          </w:p>
        </w:tc>
        <w:tc>
          <w:tcPr>
            <w:tcW w:type="dxa" w:w="2408"/>
          </w:tcPr>
          <w:p>
            <w:r>
              <w:t>27-30</w:t>
            </w:r>
          </w:p>
        </w:tc>
        <w:tc>
          <w:tcPr>
            <w:tcW w:type="dxa" w:w="2408"/>
          </w:tcPr>
          <w:p>
            <w:r>
              <w:t>03:12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>
              <w:t>Referências</w:t>
            </w:r>
          </w:p>
        </w:tc>
        <w:tc>
          <w:tcPr>
            <w:tcW w:type="dxa" w:w="2408"/>
          </w:tcPr>
          <w:p>
            <w:r>
              <w:t>31-32</w:t>
            </w:r>
          </w:p>
        </w:tc>
        <w:tc>
          <w:tcPr>
            <w:tcW w:type="dxa" w:w="2408"/>
          </w:tcPr>
          <w:p>
            <w:r>
              <w:t>00:00</w:t>
            </w:r>
          </w:p>
        </w:tc>
        <w:tc>
          <w:tcPr>
            <w:tcW w:type="dxa" w:w="2408"/>
          </w:tcPr>
          <w:p>
            <w:r>
              <w:t>25:00</w:t>
            </w:r>
          </w:p>
        </w:tc>
      </w:tr>
      <w:tr>
        <w:tc>
          <w:tcPr>
            <w:tcW w:type="dxa" w:w="240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1-32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  <w:t>25:00</w:t>
            </w:r>
          </w:p>
        </w:tc>
        <w:tc>
          <w:tcPr>
            <w:tcW w:type="dxa" w:w="2408"/>
          </w:tcPr>
          <w:p>
            <w:r/>
            <w:r>
              <w:rPr>
                <w:b/>
              </w:rPr>
            </w:r>
          </w:p>
        </w:tc>
      </w:tr>
    </w:tbl>
    <w:p>
      <w:pPr>
        <w:pStyle w:val="Heading1"/>
      </w:pPr>
      <w:r>
        <w:t>Mapa conceitual da apresentação</w:t>
      </w:r>
    </w:p>
    <w:p>
      <w:r>
        <w:t>Como ler os mapas: o conceito central fica no retângulo azul; cada seta leva a um conceito ligado a ele, e a frase sobre a seta diz a relação (leia "conceito central + frase de ligação + conceito"). O retângulo amarelo é o desdobramento: aonde o slide leva. Cada slide de conteúdo tem o seu mapa no início do estudo dirigido.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Índice de conceitos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Conceito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Autor(es)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Seção da tese</w:t>
            </w:r>
          </w:p>
        </w:tc>
        <w:tc>
          <w:tcPr>
            <w:tcW w:type="dxa" w:w="2408"/>
            <w:shd w:val="clear" w:color="auto" w:fill="FFCE32"/>
          </w:tcPr>
          <w:p>
            <w:r/>
            <w:r>
              <w:rPr>
                <w:b/>
              </w:rPr>
              <w:t>Slides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Abordagem do Ciclo de Políticas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(1992); Mainardes (2006)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12, 15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Atuação / encenação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1, 3, 12, 15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Dimensões do contexto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Ball, Maguire e Braun (2016, p. 38)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3.2;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5, 12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Recontextualização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Bowe, Ball e Gold (1992, p. 22)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3.1; 4.3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Culturas profissionais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Hargreaves (2005)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5, 13, 15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Performatividade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(2004; 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Fabricação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Ball (2002)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3.4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Poder e resistência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Foucault (1999); Ball (2011);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3.5; 4.3.1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4, 13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Território usado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(1999)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Santos (2006; 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6.2; 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Lugar / encontro de trajetórias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Massey (2008)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7, 14, 25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/ Educação OnLIFE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Schlemmer, Backes e Palagi (2021); Di Felice (2009)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14, 15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Habitar o digital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3.6; 6.4.2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Provisão, proteção, participação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ONU (2021); Freire (2019)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1.1; 3.6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5, 6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Plataformas, dados, solucionismo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Zuboff; Silveira; Morozov; Pretto et al.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3.6.1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Categorias sensibilizadoras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Quadro 12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5.2.3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21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Vazio material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Lei nº 14.533/2023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5.5; 1.2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Rugosidade tecnológica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Formulação da tese; Santos (2012)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6.3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26, 27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PRISMA, PICo, síntese temática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Page et al.; Lockwood et al.; Thomas e Harden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2.2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9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Estudo de caso, análise temática reflexiva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Yin; Minayo; Braun e Clarke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4.5.1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17, 18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Funil / estudo de caso único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Yin (2001); desenho da tese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4.1; 6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3, 17, 24</w:t>
            </w:r>
          </w:p>
        </w:tc>
      </w:tr>
      <w:tr>
        <w:tc>
          <w:tcPr>
            <w:tcW w:type="dxa" w:w="2408"/>
          </w:tcPr>
          <w:p>
            <w:r>
              <w:rPr>
                <w:sz w:val="20"/>
              </w:rPr>
              <w:t>Educação digital na lei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Lei nº 14.533/2023, art. 3º; LDB, art. 4º, XII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5.5</w:t>
            </w:r>
          </w:p>
        </w:tc>
        <w:tc>
          <w:tcPr>
            <w:tcW w:type="dxa" w:w="2408"/>
          </w:tcPr>
          <w:p>
            <w:r>
              <w:rPr>
                <w:sz w:val="20"/>
              </w:rPr>
              <w:t>22</w:t>
            </w:r>
          </w:p>
        </w:tc>
      </w:tr>
    </w:tbl>
    <w:p>
      <w:r>
        <w:br w:type="page"/>
      </w:r>
    </w:p>
    <w:p>
      <w:pPr>
        <w:pStyle w:val="Heading1"/>
      </w:pPr>
      <w:r>
        <w:t>ABERTURA</w:t>
      </w:r>
    </w:p>
    <w:p>
      <w:pPr>
        <w:pStyle w:val="Heading2"/>
      </w:pPr>
      <w:r>
        <w:t>Slide 1 · Capa</w:t>
      </w:r>
    </w:p>
    <w:p>
      <w:r>
        <w:rPr>
          <w:color w:val="555555"/>
          <w:sz w:val="20"/>
        </w:rPr>
        <w:t>30 s  ·  ao final: 00:30</w:t>
      </w:r>
    </w:p>
    <w:p>
      <w:r>
        <w:rPr>
          <w:i/>
          <w:color w:val="555555"/>
        </w:rPr>
        <w:t>[Apontar a foto da fachada ao dizer o nome da escola.]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Bom dia (ou boa tarde) a todas e a todos. Agradeço à banca pela leitura cuidadosa do texto e à professora Maria Cristina Leandro de Paiva pela orientação. Apresento o projeto de tese A encenação da Política Nacional de Educação Digital em Tibau do Sul: da Secretaria Municipal de Educação à escola de Pipa, entre culturas profissionais, território e resistências. A fotografia é da entrada da Escola Municipal Domitila Castelo da Silva.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Apresenta a tese e o lugar da pesquisa: a Escola Municipal Domitila Castelo da Silva, em Pipa (RN).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Encenação: </w:t>
      </w:r>
      <w:r>
        <w:t>Título da tese. Tradução que a tese adota para enactment, termo da teoria da atuação (ver lâmina 13).</w:t>
      </w:r>
    </w:p>
    <w:p>
      <w:pPr>
        <w:pStyle w:val="ListBullet"/>
      </w:pPr>
      <w:r>
        <w:rPr>
          <w:b/>
        </w:rPr>
        <w:t xml:space="preserve">Culturas profissionais, território e resistências: </w:t>
      </w:r>
      <w:r>
        <w:t>Os três eixos do título correspondem a três blocos teóricos do capítulo 3: culturas profissionais (3.3), território e habitar o digital (3.6) e poder e resistência (3.5).</w:t>
      </w:r>
    </w:p>
    <w:p>
      <w:r>
        <w:rPr>
          <w:b/>
        </w:rPr>
        <w:t xml:space="preserve">Autores e obras: </w:t>
      </w:r>
      <w:r>
        <w:t>Ball, Maguire e Braun (2016), pela noção de atuação/encenação.</w:t>
      </w:r>
    </w:p>
    <w:p>
      <w:r>
        <w:rPr>
          <w:b/>
        </w:rPr>
        <w:t xml:space="preserve">Onde aprofundar: </w:t>
      </w:r>
      <w:r>
        <w:t>Cap. 1, abertura e seção 1.6 (arquitetura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a tese usa "encenação" no lugar de "implementação"? (resposta na lâmina 13 e na seção 3.2).</w:t>
      </w:r>
    </w:p>
    <w:p>
      <w:pPr>
        <w:pStyle w:val="Heading2"/>
      </w:pPr>
      <w:r>
        <w:t>Slide 2 · Roteiro</w:t>
      </w:r>
    </w:p>
    <w:p>
      <w:r>
        <w:rPr>
          <w:color w:val="555555"/>
          <w:sz w:val="20"/>
        </w:rPr>
        <w:t>25 s  ·  ao final: 00:55</w:t>
      </w:r>
    </w:p>
    <w:p>
      <w:r>
        <w:rPr>
          <w:i/>
          <w:color w:val="555555"/>
        </w:rPr>
        <w:t>[Apontar os seis cartões em sequência.]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apresentação segue a ordem do texto. Começo pelo objeto, pela questão e pelos objetivos. Passo à revisão sistemática, aos fundamentos teóricos e à metodologia. Depois trago a agenda global e a PNED e, por fim, o caminho do município à escola, que me leva à tese de partida e aos próximos passos.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Organiza a apresentação na ordem dos capítulos: objeto, RSL, teoria, método, agenda e PNED, território.</w:t>
      </w:r>
    </w:p>
    <w:p>
      <w:r>
        <w:rPr>
          <w:b/>
        </w:rPr>
        <w:t xml:space="preserve">Onde aprofundar: </w:t>
      </w:r>
      <w:r>
        <w:t>Cap. 1, seção 1.6, que descreve os oito capítulos.</w:t>
      </w:r>
    </w:p>
    <w:p>
      <w:r>
        <w:br w:type="page"/>
      </w:r>
    </w:p>
    <w:p>
      <w:pPr>
        <w:pStyle w:val="Heading1"/>
      </w:pPr>
      <w:r>
        <w:t>OBJETO, QUESTÃO, OBJETIVOS E RELEVÂNCIAS</w:t>
      </w:r>
    </w:p>
    <w:p>
      <w:pPr>
        <w:pStyle w:val="Heading2"/>
      </w:pPr>
      <w:r>
        <w:t>Slide 3 · Objeto</w:t>
      </w:r>
    </w:p>
    <w:p>
      <w:r>
        <w:rPr>
          <w:color w:val="555555"/>
          <w:sz w:val="20"/>
        </w:rPr>
        <w:t>55 s  ·  ao final: 01:50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objeto desta tese é a encenação da Política Nacional de Educação Digital, instituída pela Lei nº 14.533, de 2023, no eixo Educação Digital Escolar, na Escola Municipal Domitila Castelo da Silva, em Pipa. O foco está nos profissionais dos anos iniciais, do 1º ao 5º ano: professoras e professores, coordenação, direção e apoio pedagógico. Para chegar a Pipa, a pesquisa percorre um caminho em funil. Parte do território municipal de Tibau do Sul e dos documentos da Secretaria Municipal de Educação e pergunta se eles consideram a realidade diversa de cada localidade, até chegar à escola. Trabalho com a ideia de Ball, Maguire e Braun de que as atuações são coletivas, criativas e limitadas.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Delimita o objeto: a encenação da PNED, eixo Educação Digital Escolar, na escola de Pipa, pelos profissionais dos anos iniciais. O território municipal e os documentos da Secretaria são o caminho em funil até a escola.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Funil: </w:t>
      </w:r>
      <w:r>
        <w:t>Percurso da pesquisa: território municipal de Tibau do Sul, documentos da SME (se consideram a realidade diversa de cada localidade), Pipa e, por fim, a escola. A rede e a Secretaria são contexto; o caso é a escola de Pipa.</w:t>
      </w:r>
    </w:p>
    <w:p>
      <w:pPr>
        <w:pStyle w:val="ListBullet"/>
      </w:pPr>
      <w:r>
        <w:rPr>
          <w:b/>
        </w:rPr>
        <w:t xml:space="preserve">PNED: </w:t>
      </w:r>
      <w:r>
        <w:t>Política Nacional de Educação Digital, Lei nº 14.533/2023, com quatro eixos: Inclusão Digital, Educação Digital Escolar, Capacitação e Especialização Digital e Pesquisa e Desenvolvimento em TIC. A tese trata do eixo Educação Digital Escolar.</w:t>
      </w:r>
    </w:p>
    <w:p>
      <w:pPr>
        <w:pStyle w:val="ListBullet"/>
      </w:pPr>
      <w:r>
        <w:rPr>
          <w:b/>
        </w:rPr>
        <w:t xml:space="preserve">Profissionais da educação: </w:t>
      </w:r>
      <w:r>
        <w:t>Todos os que, na escola, participam da construção da política: docentes, coordenação, direção e demais profissionais ligados aos processos pedagógicos ou à educação digital.</w:t>
      </w:r>
    </w:p>
    <w:p>
      <w:pPr>
        <w:pStyle w:val="ListBullet"/>
      </w:pPr>
      <w:r>
        <w:rPr>
          <w:b/>
        </w:rPr>
        <w:t xml:space="preserve">Atuações "coletivas, criativas e limitadas": </w:t>
      </w:r>
      <w:r>
        <w:t>Formulação de Ball, Maguire e Braun (2016, p. 103): as atuações são feitas de "malabarismo instável entre as prioridades inconciliáveis, cargas de trabalho impossíveis, movimentos satisficing e entusiasmos pessoais".</w:t>
      </w:r>
    </w:p>
    <w:p>
      <w:r>
        <w:rPr>
          <w:b/>
        </w:rPr>
        <w:t xml:space="preserve">Autores e obras: </w:t>
      </w:r>
      <w:r>
        <w:t>BRASIL. Lei nº 14.533/2023; Ball, Maguire e Braun (2016, p. 103).</w:t>
      </w:r>
    </w:p>
    <w:p>
      <w:r>
        <w:rPr>
          <w:b/>
        </w:rPr>
        <w:t xml:space="preserve">Onde aprofundar: </w:t>
      </w:r>
      <w:r>
        <w:t>Cap. 1, abertura e 1.3; Cap. 3, seção 3.2 (a citação completa da p. 103); Cap. 5, seção 5.5 (o eixo na lei).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ouvir todos os profissionais, e não só as professoras regentes? (cap. 3.2: os atores são "posicionados de forma diferente", BMB, 2016, p. 74-75).</w:t>
      </w:r>
    </w:p>
    <w:p>
      <w:r>
        <w:rPr>
          <w:b/>
          <w:color w:val="B03A2E"/>
        </w:rPr>
        <w:t xml:space="preserve">Cuidado: </w:t>
      </w:r>
      <w:r>
        <w:t>Fato: título, objeto e citação (BMB, 2016, p. 103) estão nos capítulos.</w:t>
      </w:r>
    </w:p>
    <w:p>
      <w:pPr>
        <w:pStyle w:val="Heading2"/>
      </w:pPr>
      <w:r>
        <w:t>Slide 4 · Questão de pesquisa</w:t>
      </w:r>
    </w:p>
    <w:p>
      <w:r>
        <w:rPr>
          <w:color w:val="555555"/>
          <w:sz w:val="20"/>
        </w:rPr>
        <w:t>55 s  ·  ao final: 02:45</w:t>
      </w:r>
    </w:p>
    <w:p>
      <w:r>
        <w:rPr>
          <w:i/>
          <w:color w:val="555555"/>
        </w:rPr>
        <w:t>[Seguir o infográfico da esquerda para a direita, apontando cada cartão; a pergunta completa fica no alto para a banca. Pausa no cartão da resistência.]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Daí a questão que orienta a pesquisa: 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 O infográfico mostra como as partes se ligam. A resistência é uma possibilidade a examinar nos dados, sem ser pressuposta. E, com Stuart Hall, numa aproximação nossa, entendo que os sentidos organizam as ações; por isso, as narrativas dos profissionais ocupam o centro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7195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1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questão, reduzida a pedido da orientadora, em cadeia como no infográfico: a PNED é recontextualizada e encenada pelos profissionais, da SME à escola de Pipa, atravessados por culturas profissionais, condições e lugar, e produz formas de atuação; a resistência fica como hipótese.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Questão revisada: </w:t>
      </w:r>
      <w:r>
        <w:t>Como a Política Nacional de Educação Digital é recontextualizada e encenada pelos profissionais da educação de Tibau do Sul (RN), da Secretaria Municipal de Educação à escola de Pipa, atravessados pelas culturas profissionais, pelas condições materiais e institucionais e pelas especificidades do lugar, e que formas de atuação emergem desse processo, entre acomodações, negociações, ressignificações e resistências?</w:t>
      </w:r>
    </w:p>
    <w:p>
      <w:pPr>
        <w:pStyle w:val="ListBullet"/>
      </w:pPr>
      <w:r>
        <w:rPr>
          <w:b/>
        </w:rPr>
        <w:t xml:space="preserve">Recontextualizar: </w:t>
      </w:r>
      <w:r>
        <w:t>Recriar a política no contexto da prática: ela "não é simplesmente recebida e implementada [...] está sujeita à interpretação e então é ‘recriada’" (BOWE; BALL; GOLD, 1992, p. 22).</w:t>
      </w:r>
    </w:p>
    <w:p>
      <w:pPr>
        <w:pStyle w:val="ListBullet"/>
      </w:pPr>
      <w:r>
        <w:rPr>
          <w:b/>
        </w:rPr>
        <w:t xml:space="preserve">Formas de atuação: </w:t>
      </w:r>
      <w:r>
        <w:t>Acomodação, negociação, ressignificação, resistência e outras (ver lâmina 14).</w:t>
      </w:r>
    </w:p>
    <w:p>
      <w:pPr>
        <w:pStyle w:val="ListBullet"/>
      </w:pPr>
      <w:r>
        <w:rPr>
          <w:b/>
        </w:rPr>
        <w:t xml:space="preserve">Resistência como possibilidade: </w:t>
      </w:r>
      <w:r>
        <w:t>A resistência está no título, mas é hipótese a examinar nos dados, sem ser pressuposta.</w:t>
      </w:r>
    </w:p>
    <w:p>
      <w:pPr>
        <w:pStyle w:val="ListBullet"/>
      </w:pPr>
      <w:r>
        <w:rPr>
          <w:b/>
        </w:rPr>
        <w:t xml:space="preserve">Sentidos organizam ações (Hall): </w:t>
      </w:r>
      <w:r>
        <w:t>No slide: um discurso é "um modo de construir sentidos que influencia e organiza tanto nossas ações quanto a concepção que temos de nós mesmos" (HALL, 2006, p. 50-51). Hall trata de cultura nacional, não de política educacional: a aproximação é nossa e precisa ser dita. Daí a decisão de pôr as narrativas dos profissionais no centro da produção de dados.</w:t>
      </w:r>
    </w:p>
    <w:p>
      <w:pPr>
        <w:pStyle w:val="ListBullet"/>
      </w:pPr>
      <w:r>
        <w:rPr>
          <w:b/>
        </w:rPr>
        <w:t xml:space="preserve">Alternativa de Hall: </w:t>
      </w:r>
      <w:r>
        <w:t>"devem aprender a habitar, no mínimo, duas identidades, a falar duas linguagens culturais, a traduzir e a negociar entre elas" (HALL, 2006, p. 89), mais próxima de tradução e negociação.</w:t>
      </w:r>
    </w:p>
    <w:p>
      <w:r>
        <w:rPr>
          <w:b/>
        </w:rPr>
        <w:t xml:space="preserve">Autores e obras: </w:t>
      </w:r>
      <w:r>
        <w:t>Bowe, Ball e Gold (1992, p. 22); Ball, Maguire e Braun (2016, p. 14): as políticas "raramente ditam ou determinam a prática"; Hall (2006, p. 50-51; p. 89 como alternativa).</w:t>
      </w:r>
    </w:p>
    <w:p>
      <w:r>
        <w:rPr>
          <w:b/>
        </w:rPr>
        <w:t xml:space="preserve">Onde aprofundar: </w:t>
      </w:r>
      <w:r>
        <w:t>Cap. 1, seção 1.3; Cap. 3, seções 3.1 e 3.5; Cap. 4, seção 4.3 (recontextualização como categoria analítica integradora).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garante que a pesquisa não "encontre" a resistência que procura? (critérios datados e assinados antes da 1ª entrevista, cap. 4, 4.3.1).</w:t>
      </w:r>
    </w:p>
    <w:p>
      <w:pPr>
        <w:pStyle w:val="ListBullet"/>
      </w:pPr>
      <w:r>
        <w:rPr>
          <w:i/>
        </w:rPr>
        <w:t>Por que um autor dos estudos culturais na questão de uma tese de política educacional? (sentidos organizam ações; por isso, as narrativas no centro; aproximação declarada).</w:t>
      </w:r>
    </w:p>
    <w:p>
      <w:pPr>
        <w:pStyle w:val="Heading2"/>
      </w:pPr>
      <w:r>
        <w:t>Slide 5 · Objetivos</w:t>
      </w:r>
    </w:p>
    <w:p>
      <w:r>
        <w:rPr>
          <w:color w:val="555555"/>
          <w:sz w:val="20"/>
        </w:rPr>
        <w:t>90 s  ·  ao final: 04:15</w:t>
      </w:r>
    </w:p>
    <w:p>
      <w:r>
        <w:rPr>
          <w:i/>
          <w:color w:val="555555"/>
        </w:rPr>
        <w:t>[Cada cartão tem um rótulo: do município a Pipa, interpretação, condições e território, formas de atuação e crianças. Destacar os verbos: analisar, compreender, examinar, identificar.]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objetivo geral é analisar a recontextualização da Política Nacional de Educação Digital da Secretaria Municipal de Educação de Tibau do Sul até o contexto da prática da Escola Municipal Domitila Castelo da Silva, considerando a diversidade socioespacial do território municipal, as culturas profissionais e as condições materiais e institucionais da rede e da escola. Os quatro objetivos específicos seguem o funil. O primeiro faz o caminho do município a Pipa: analisar a recontextualização da PNED pela Secretaria em planos, currículos, formações e orientações, considerando as especificidades das localidades, entre elas as áreas rurais e a comunidade quilombola de Sibaúma, até chegar a Pipa. O segundo é compreender a interpretação da política e das orientações municipais pelos profissionais da escola, à luz de suas experiências, crenças e valores. O terceiro é examinar a relação entre as condições materiais e institucionais da escola, articuladas às especificidades de Pipa, e a tradução da política em ações e escolhas cotidianas. O quarto é identificar as formas de atuação produzidas, da adesão à resistência, e suas implicações para a provisão, a proteção e a participação das crianças no ambiente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81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81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objetivo geral e quatro específicos, em funil: do município a Pipa, interpretação, condições e território, formas de atuação e crianças.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Do município a Pipa (obj. a): </w:t>
      </w:r>
      <w:r>
        <w:t>Analisar a recontextualização da PNED pela SME em planos, currículos, formações e orientações, considerando as localidades (áreas rurais, comunidade quilombola de Sibaúma), até chegar a Pipa. É onde a dimensão externa do contexto ganha fonte própria.</w:t>
      </w:r>
    </w:p>
    <w:p>
      <w:pPr>
        <w:pStyle w:val="ListBullet"/>
      </w:pPr>
      <w:r>
        <w:rPr>
          <w:b/>
        </w:rPr>
        <w:t xml:space="preserve">Interpretação (obj. b): </w:t>
      </w:r>
      <w:r>
        <w:t>Compreender como os profissionais leem a PNED e as orientações municipais a partir de experiências, crenças, valores e organização do trabalho. Dialoga com culturas profissionais (Hargreaves).</w:t>
      </w:r>
    </w:p>
    <w:p>
      <w:pPr>
        <w:pStyle w:val="ListBullet"/>
      </w:pPr>
      <w:r>
        <w:rPr>
          <w:b/>
        </w:rPr>
        <w:t xml:space="preserve">Condições e território (obj. c): </w:t>
      </w:r>
      <w:r>
        <w:t>Examinar a relação entre as condições da escola, articuladas às especificidades de Pipa, e a tradução da política. Dimensões situada e material (BMB, 2016, p. 38).</w:t>
      </w:r>
    </w:p>
    <w:p>
      <w:pPr>
        <w:pStyle w:val="ListBullet"/>
      </w:pPr>
      <w:r>
        <w:rPr>
          <w:b/>
        </w:rPr>
        <w:t xml:space="preserve">Formas de atuação e crianças (obj. d): </w:t>
      </w:r>
      <w:r>
        <w:t>Identificar as formas de atuação, da adesão à resistência, e suas implicações para provisão, proteção e participação das crianças no ambiente digital (ONU, 2021).</w:t>
      </w:r>
    </w:p>
    <w:p>
      <w:pPr>
        <w:pStyle w:val="ListBullet"/>
      </w:pPr>
      <w:r>
        <w:rPr>
          <w:b/>
        </w:rPr>
        <w:t xml:space="preserve">Verbos: </w:t>
      </w:r>
      <w:r>
        <w:t>Analisar, compreender, examinar, identificar: um verbo por objetivo.</w:t>
      </w:r>
    </w:p>
    <w:p>
      <w:r>
        <w:rPr>
          <w:b/>
        </w:rPr>
        <w:t xml:space="preserve">Autores e obras: </w:t>
      </w:r>
      <w:r>
        <w:t>Hargreaves (2005); Ball, Maguire e Braun (2016, p. 38); ONU (2021), Comentário Geral nº 25.</w:t>
      </w:r>
    </w:p>
    <w:p>
      <w:r>
        <w:rPr>
          <w:b/>
        </w:rPr>
        <w:t xml:space="preserve">Onde aprofundar: </w:t>
      </w:r>
      <w:r>
        <w:t>Cap. 1, seção 1.3; Cap. 4, Quadro 9 (objetivos, fontes e capítulos); Cap. 3, seção 3.6 (provisão, proteção, participação).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Em que capítulo cada objetivo é respondido? (a: caps. 6 e 7; b, c, d: cap. 7 com as narrativas; Quadro 9 do cap. 4).</w:t>
      </w:r>
    </w:p>
    <w:p>
      <w:pPr>
        <w:pStyle w:val="ListBullet"/>
      </w:pPr>
      <w:r>
        <w:rPr>
          <w:i/>
        </w:rPr>
        <w:t>Por que o objetivo (a) não ouve outras escolas? (a rede entra por documentos, dados e o técnico da SME).</w:t>
      </w:r>
    </w:p>
    <w:p>
      <w:pPr>
        <w:pStyle w:val="Heading2"/>
      </w:pPr>
      <w:r>
        <w:t>Slide 6 · Relevâncias da pesquisa</w:t>
      </w:r>
    </w:p>
    <w:p>
      <w:r>
        <w:rPr>
          <w:color w:val="555555"/>
          <w:sz w:val="20"/>
        </w:rPr>
        <w:t>60 s  ·  ao final: 05:15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Vejo cinco relevâncias nesta pesquisa. Para as crianças, porque o eixo lhes promete participação consciente e democrática e proteção dos dados, e nos anos iniciais a escola pode ser o primeiro espaço público em que o digital é discutido com alguém responsável pelo ensino. Para os profissionais, porque olhamos a política a partir de quem a faz acontecer, sem cobrar de cada um o que só o desenho da política poderia garantir. Para o território, porque Tibau do Sul reúne localidades muito distintas numa mesma rede, e em Pipa o uso econômico intenso das tecnologias convive com salas sem telas. Para a ciência, pela leitura da PNED a partir do contexto da prática. E para a rede, que saberá se a tradução municipal da política considera essas diferenças e o que chega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22948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29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relevâncias: para as crianças, os profissionais, o território, a ciência e a rede.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Promessas às crianças: </w:t>
      </w:r>
      <w:r>
        <w:t>Art. 3º, III (participação consciente e democrática) e IV (proteção dos dados) da PNED.</w:t>
      </w:r>
    </w:p>
    <w:p>
      <w:pPr>
        <w:pStyle w:val="ListBullet"/>
      </w:pPr>
      <w:r>
        <w:rPr>
          <w:b/>
        </w:rPr>
        <w:t xml:space="preserve">Fazedores de política: </w:t>
      </w:r>
      <w:r>
        <w:t>Profissionais lidos como quem produz a política, sem que se cobre deles o que só o desenho da política poderia garantir.</w:t>
      </w:r>
    </w:p>
    <w:p>
      <w:pPr>
        <w:pStyle w:val="ListBullet"/>
      </w:pPr>
      <w:r>
        <w:rPr>
          <w:b/>
        </w:rPr>
        <w:t xml:space="preserve">Dissonância territorial: </w:t>
      </w:r>
      <w:r>
        <w:t>Em Pipa, uso econômico intenso das tecnologias convive com salas de aula sem telas.</w:t>
      </w:r>
    </w:p>
    <w:p>
      <w:pPr>
        <w:pStyle w:val="ListBullet"/>
      </w:pPr>
      <w:r>
        <w:rPr>
          <w:b/>
        </w:rPr>
        <w:t xml:space="preserve">Para a rede: </w:t>
      </w:r>
      <w:r>
        <w:t>Mostrar se a tradução municipal da PNED considera as diferenças entre as localidades e o que chega a Pipa, com devolutiva à escola e à SME.</w:t>
      </w:r>
    </w:p>
    <w:p>
      <w:r>
        <w:rPr>
          <w:b/>
        </w:rPr>
        <w:t xml:space="preserve">Autores e obras: </w:t>
      </w:r>
      <w:r>
        <w:t>BRASIL (2023, art. 3º, III e IV); ONU (2021); Santos (1999); Ball, Maguire e Braun (2016).</w:t>
      </w:r>
    </w:p>
    <w:p>
      <w:r>
        <w:rPr>
          <w:b/>
        </w:rPr>
        <w:t xml:space="preserve">Onde aprofundar: </w:t>
      </w:r>
      <w:r>
        <w:t>Cap. 1, seção 1.1 (justificativa); Projeto de tese, seção 13 (contribuições esperadas).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é a relevância social, além da acadêmica? (devolutiva à escola e à SME, cap. 4, 4.5.1).</w:t>
      </w:r>
    </w:p>
    <w:p>
      <w:pPr>
        <w:pStyle w:val="Heading2"/>
      </w:pPr>
      <w:r>
        <w:t>Slide 7 · Ineditismo</w:t>
      </w:r>
    </w:p>
    <w:p>
      <w:r>
        <w:rPr>
          <w:color w:val="555555"/>
          <w:sz w:val="20"/>
        </w:rPr>
        <w:t>55 s  ·  ao final: 06:10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ineditismo aparece em três planos. No empírico-temporal, acompanhamos a chegada da PNED a uma escola de Pipa, lida a partir da rede, enquanto ela acontece: a lei é de 2023, a educação digital virou componente curricular no fim daquele ano e a Resolução CNE/CEB nº 2, de 2025, marcou a implementação para 2026, e nenhum dos nove estudos da revisão examina essa política ou uma rede municipal de pequeno porte. No analítico-espacial, Pipa está no centro, lida dentro de um território municipal diverso, com Milton Santos e com Doreen Massey. No teórico-conceitual, articulamos atuação, culturas profissionais, materialidade e território, e daí nasce a formulação habitar o digital.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planos: empírico-temporal, analítico-espacial e teórico-conceitual.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Empírico-temporal: </w:t>
      </w:r>
      <w:r>
        <w:t>Acompanhar a chegada da PNED à escola; nenhum dos nove estudos da RSL a examina.</w:t>
      </w:r>
    </w:p>
    <w:p>
      <w:pPr>
        <w:pStyle w:val="ListBullet"/>
      </w:pPr>
      <w:r>
        <w:rPr>
          <w:b/>
        </w:rPr>
        <w:t xml:space="preserve">Analítico-espacial: </w:t>
      </w:r>
      <w:r>
        <w:t>Pipa no centro, lida dentro de um território municipal diverso. "O território não é uma categoria de análise, a categoria de análise é o território usado" (SANTOS, 1999, p. 19); o lugar como "um encontro de trajetórias" (MASSEY, 2008, p. 204).</w:t>
      </w:r>
    </w:p>
    <w:p>
      <w:pPr>
        <w:pStyle w:val="ListBullet"/>
      </w:pPr>
      <w:r>
        <w:rPr>
          <w:b/>
        </w:rPr>
        <w:t xml:space="preserve">Teórico-conceitual: </w:t>
      </w:r>
      <w:r>
        <w:t>Articulação entre atuação, culturas profissionais, materialidade e território, da qual nasce a formulação "habitar o digital".</w:t>
      </w:r>
    </w:p>
    <w:p>
      <w:pPr>
        <w:pStyle w:val="ListBullet"/>
      </w:pPr>
      <w:r>
        <w:rPr>
          <w:b/>
        </w:rPr>
        <w:t xml:space="preserve">Calendário normativo: </w:t>
      </w:r>
      <w:r>
        <w:t>Lei nº 14.533 (jan. 2023); derrubada do veto e inclusão do § 11 do art. 26 da LDB (dez. 2023); Resolução CNE/CEB nº 2/2025 (implementação a partir de 2026, art. 36); Estatuto Digital da Criança e do Adolescente, Lei nº 15.211/2025 (em vigor em mar. 2026); novo PNE, Lei nº 15.388/2026 (abr. 2026).</w:t>
      </w:r>
    </w:p>
    <w:p>
      <w:r>
        <w:rPr>
          <w:b/>
        </w:rPr>
        <w:t xml:space="preserve">Autores e obras: </w:t>
      </w:r>
      <w:r>
        <w:t>Santos (1999, p. 19); Massey (2008, p. 29, 203, 204); Ball (2011, p. 36, 38, 46).</w:t>
      </w:r>
    </w:p>
    <w:p>
      <w:r>
        <w:rPr>
          <w:b/>
        </w:rPr>
        <w:t xml:space="preserve">Onde aprofundar: </w:t>
      </w:r>
      <w:r>
        <w:t>Cap. 1, seção 1.5; Cap. 2, seção 2.5.4 (o ineditismo à luz da RSL).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inédito na tese, se a teoria da atuação já existe? (a articulação dos referenciais e o caso).</w:t>
      </w:r>
    </w:p>
    <w:p>
      <w:r>
        <w:br w:type="page"/>
      </w:r>
    </w:p>
    <w:p>
      <w:pPr>
        <w:pStyle w:val="Heading1"/>
      </w:pPr>
      <w:r>
        <w:t>REVISÃO SISTEMÁTICA</w:t>
      </w:r>
    </w:p>
    <w:p>
      <w:pPr>
        <w:pStyle w:val="Heading2"/>
      </w:pPr>
      <w:r>
        <w:t>Slide 8 · Divisor: Revisão sistemática</w:t>
      </w:r>
    </w:p>
    <w:p>
      <w:r>
        <w:rPr>
          <w:color w:val="555555"/>
          <w:sz w:val="20"/>
        </w:rPr>
        <w:t>10 s  ·  ao final: 06:20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Passo agora ao segundo capítulo, a revisão sistemática da literatura.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2.</w:t>
      </w:r>
    </w:p>
    <w:p>
      <w:r>
        <w:rPr>
          <w:b/>
        </w:rPr>
        <w:t xml:space="preserve">Onde aprofundar: </w:t>
      </w:r>
      <w:r>
        <w:t>Cap. 2.</w:t>
      </w:r>
    </w:p>
    <w:p>
      <w:pPr>
        <w:pStyle w:val="Heading2"/>
      </w:pPr>
      <w:r>
        <w:t>Slide 9 · Percurso e respostas da revisão</w:t>
      </w:r>
    </w:p>
    <w:p>
      <w:r>
        <w:rPr>
          <w:color w:val="555555"/>
          <w:sz w:val="20"/>
        </w:rPr>
        <w:t>60 s  ·  ao final: 07:20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partiu de uma pergunta: o que a produção científica evidencia sobre a implementação de políticas públicas de educação digital nos anos iniciais do Ensino Fundamental? Seguimos a declaração PRISMA 2020, estruturamos a questão pelo modelo PICo e fizemos a síntese temática proposta por Thomas e Harden. As sete bases retornaram 176 registros; avaliamos 35 textos completos e chegamos a nove estudos, publicados entre 2021 e 2024. Os condicionantes incluem, além de equipamentos e conectividade, formação continuada, estabilidade das equipes, tempo de trabalho e o próprio marco regulatório. O papel dos profissionais recebeu a resposta mais convergente: a política é feita de interpretação e de decisões situadas. Os sentidos de cultura digital e de formação cidadã têm apoio frágil.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7118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0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711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Protocolo da RSL e respostas às três subperguntas.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PRISMA 2020: </w:t>
      </w:r>
      <w:r>
        <w:t>Diretriz para relatar revisões sistemáticas (PAGE et al., 2022).</w:t>
      </w:r>
    </w:p>
    <w:p>
      <w:pPr>
        <w:pStyle w:val="ListBullet"/>
      </w:pPr>
      <w:r>
        <w:rPr>
          <w:b/>
        </w:rPr>
        <w:t xml:space="preserve">PICo: </w:t>
      </w:r>
      <w:r>
        <w:t>População, Interesse, Contexto: estrutura da questão para revisões qualitativas (LOCKWOOD et al., 2015).</w:t>
      </w:r>
    </w:p>
    <w:p>
      <w:pPr>
        <w:pStyle w:val="ListBullet"/>
      </w:pPr>
      <w:r>
        <w:rPr>
          <w:b/>
        </w:rPr>
        <w:t xml:space="preserve">Síntese temática: </w:t>
      </w:r>
      <w:r>
        <w:t>Codificação dos resultados, temas descritivos e temas analíticos (THOMAS; HARDEN, 2008).</w:t>
      </w:r>
    </w:p>
    <w:p>
      <w:pPr>
        <w:pStyle w:val="ListBullet"/>
      </w:pPr>
      <w:r>
        <w:rPr>
          <w:b/>
        </w:rPr>
        <w:t xml:space="preserve">MMAT 2018: </w:t>
      </w:r>
      <w:r>
        <w:t>Instrumento de avaliação da qualidade dos estudos empíricos (HONG et al., 2018), com piso de 3 em 5.</w:t>
      </w:r>
    </w:p>
    <w:p>
      <w:pPr>
        <w:pStyle w:val="ListBullet"/>
      </w:pPr>
      <w:r>
        <w:rPr>
          <w:b/>
        </w:rPr>
        <w:t xml:space="preserve">Números do fluxo: </w:t>
      </w:r>
      <w:r>
        <w:t>7 bases, 176 registros, 39 buscados, 35 avaliados, 9 estudos (2021-2024).</w:t>
      </w:r>
    </w:p>
    <w:p>
      <w:r>
        <w:rPr>
          <w:b/>
        </w:rPr>
        <w:t xml:space="preserve">Autores e obras: </w:t>
      </w:r>
      <w:r>
        <w:t>Page et al. (2022); Lockwood et al. (2015); Thomas e Harden (2008); Kitchenham e Charters (2007); Hong et al. (2018).</w:t>
      </w:r>
    </w:p>
    <w:p>
      <w:r>
        <w:rPr>
          <w:b/>
        </w:rPr>
        <w:t xml:space="preserve">Onde aprofundar: </w:t>
      </w:r>
      <w:r>
        <w:t>Cap. 2, seções 2.2 a 2.4 e 2.5.1; Apêndices A a C.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não consultar o Banco de Teses da CAPES? (a BDTD já o indexa, cap. 2, 2.2).</w:t>
      </w:r>
    </w:p>
    <w:p>
      <w:pPr>
        <w:pStyle w:val="ListBullet"/>
      </w:pPr>
      <w:r>
        <w:rPr>
          <w:i/>
        </w:rPr>
        <w:t>Qual a principal limitação da RSL? (triagem sem segundo avaliador, 2.5.3).</w:t>
      </w:r>
    </w:p>
    <w:p>
      <w:pPr>
        <w:pStyle w:val="Heading2"/>
      </w:pPr>
      <w:r>
        <w:t>Slide 10 · O que a revisão decidiu</w:t>
      </w:r>
    </w:p>
    <w:p>
      <w:r>
        <w:rPr>
          <w:color w:val="555555"/>
          <w:sz w:val="20"/>
        </w:rPr>
        <w:t>80 s  ·  ao final: 08:40</w:t>
      </w:r>
    </w:p>
    <w:p>
      <w:r>
        <w:rPr>
          <w:i/>
          <w:color w:val="555555"/>
        </w:rPr>
        <w:t>[Ler cada linha da esquerda para a direita, seguindo a seta.]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revisão orientou decisões da tese, e esta lâmina mostra cada uma delas. Os estudos tratam os anos iniciais em bloco e quase não delimitam o ciclo de alfabetização; por isso, a tese delimita o 1º ao 5º ano, com esse ciclo incluído. Nenhum estudo examina a PNED nem uma rede municipal de pequeno porte; a tese toma o eixo Educação Digital Escolar como objeto, numa escola de Pipa, lida a partir da rede municipal. Predominam respostas emergenciais à pandemia; a tese estuda a política no funcionamento ordinário da escola. O corpus mostra que as condições vão além do equipamento e que os profissionais interpretam a política, e daí nasce a pergunta sobre o que eles fazem quando a condição anunciada não chega. Cultura digital e formação cidadã têm apoio frágil, e as crianças não aparecem como sujeitos; o tema será tratado de modo exploratório, ouvindo os profissionais, sem avaliar efeitos sobre as crianças. Por fim, os três eixos da revisão serviram de referência para o questionário e as entrevistas, sem virar categorias fechadas.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Cada lacuna da literatura se converte numa decisão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Lacuna: </w:t>
      </w:r>
      <w:r>
        <w:t>O que a literatura não examina, sustentado pelo corpus e pelo registro de exclusões (Quadro 8).</w:t>
      </w:r>
    </w:p>
    <w:p>
      <w:pPr>
        <w:pStyle w:val="ListBullet"/>
      </w:pPr>
      <w:r>
        <w:rPr>
          <w:b/>
        </w:rPr>
        <w:t xml:space="preserve">Decisões: </w:t>
      </w:r>
      <w:r>
        <w:t>Recorte do 1º ao 5º ano com alfabetização; eixo Educação Digital Escolar numa escola de Pipa, lida a partir da rede municipal; funcionamento ordinário da escola; pergunta sobre o que os profissionais fazem quando a condição não chega; cultura digital em caráter exploratório; eixos da revisão como referência para os instrumentos.</w:t>
      </w:r>
    </w:p>
    <w:p>
      <w:r>
        <w:rPr>
          <w:b/>
        </w:rPr>
        <w:t xml:space="preserve">Autores e obras: </w:t>
      </w:r>
      <w:r>
        <w:t>Nunes (2024) e Tussi (2023), sobre formação; Brown et al. (2021), sobre a norma como restrição; Ivanishchenko, Busana e Reuter (2024), sobre o limite da provisão.</w:t>
      </w:r>
    </w:p>
    <w:p>
      <w:r>
        <w:rPr>
          <w:b/>
        </w:rPr>
        <w:t xml:space="preserve">Onde aprofundar: </w:t>
      </w:r>
      <w:r>
        <w:t>Cap. 2, seções 2.5.2 (lacunas), Quadro 8 e 2.5.4 (contribuições da tese).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Os referenciais teóricos vêm do corpus? (não: são externos ao corpus, 2.5.4).</w:t>
      </w:r>
    </w:p>
    <w:p>
      <w:r>
        <w:br w:type="page"/>
      </w:r>
    </w:p>
    <w:p>
      <w:pPr>
        <w:pStyle w:val="Heading1"/>
      </w:pPr>
      <w:r>
        <w:t>FUNDAMENTOS TEÓRICOS</w:t>
      </w:r>
    </w:p>
    <w:p>
      <w:pPr>
        <w:pStyle w:val="Heading2"/>
      </w:pPr>
      <w:r>
        <w:t>Slide 11 · Divisor: Fundamentos teóricos</w:t>
      </w:r>
    </w:p>
    <w:p>
      <w:r>
        <w:rPr>
          <w:color w:val="555555"/>
          <w:sz w:val="20"/>
        </w:rPr>
        <w:t>10 s  ·  ao final: 08:50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essas escolhas feitas, passo aos fundamentos teóricos, que acompanham a política do texto ao ato.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3.</w:t>
      </w:r>
    </w:p>
    <w:p>
      <w:r>
        <w:rPr>
          <w:b/>
        </w:rPr>
        <w:t xml:space="preserve">Onde aprofundar: </w:t>
      </w:r>
      <w:r>
        <w:t>Cap. 3.</w:t>
      </w:r>
    </w:p>
    <w:p>
      <w:pPr>
        <w:pStyle w:val="Heading2"/>
      </w:pPr>
      <w:r>
        <w:t>Slide 12 · Do texto ao ato</w:t>
      </w:r>
    </w:p>
    <w:p>
      <w:r>
        <w:rPr>
          <w:color w:val="555555"/>
          <w:sz w:val="20"/>
        </w:rPr>
        <w:t>85 s  ·  ao final: 10:15</w:t>
      </w:r>
    </w:p>
    <w:p>
      <w:r>
        <w:rPr>
          <w:i/>
          <w:color w:val="555555"/>
        </w:rPr>
        <w:t>[Seguir as setas: influência, produção do texto, prática.]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3 organiza a teoria pelo caminho da política. A Abordagem do Ciclo de Políticas, de Bowe, Ball e Gold, sistematizada no Brasil por Mainardes, entende a política como processo contínuo, em que formulação e prática se influenciam. No contexto de influência, agendas e discursos disputam as finalidades da educação digital. No contexto da produção do texto, essas disputas ganham forma na Lei nº 14.533 e na Resolução CNE/CEB nº 2, e ali se lê o que a lei pede e com que meios. Esses dois contextos são examinados no capítulo 5. No contexto da prática, a política é posta em ato, primeiro na Secretaria, que a traduz para a rede, e depois na escola. É aqui que entra a teoria da atuação de Ball, Maguire e Braun, com quatro dimensões: a situada, que traz Pipa e a história da escola; a das culturas profissionais; a material, com prédio, equipamentos e conexão; e a externa, que nesta tese tem fonte própria na Secretaria. Esse contexto é tratado nos capítulos 6 e 7.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3911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2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39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política vai do contexto de influência à produção do texto e ao contexto da prática, onde é posta em ato.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do Ciclo de Políticas (ACP): </w:t>
      </w:r>
      <w:r>
        <w:t>A política como processo contínuo, em que formulação e prática se influenciam, sem hierarquia fixa entre quem formula e quem executa.</w:t>
      </w:r>
    </w:p>
    <w:p>
      <w:pPr>
        <w:pStyle w:val="ListBullet"/>
      </w:pPr>
      <w:r>
        <w:rPr>
          <w:b/>
        </w:rPr>
        <w:t xml:space="preserve">Contexto de influência: </w:t>
      </w:r>
      <w:r>
        <w:t>Onde se disputam finalidades e discursos (cap. 5: agendas e comparação).</w:t>
      </w:r>
    </w:p>
    <w:p>
      <w:pPr>
        <w:pStyle w:val="ListBullet"/>
      </w:pPr>
      <w:r>
        <w:rPr>
          <w:b/>
        </w:rPr>
        <w:t xml:space="preserve">Contexto da produção do texto: </w:t>
      </w:r>
      <w:r>
        <w:t>Onde as disputas ganham forma em leis e documentos (cap. 5: a lei).</w:t>
      </w:r>
    </w:p>
    <w:p>
      <w:pPr>
        <w:pStyle w:val="ListBullet"/>
      </w:pPr>
      <w:r>
        <w:rPr>
          <w:b/>
        </w:rPr>
        <w:t xml:space="preserve">Contexto da prática: </w:t>
      </w:r>
      <w:r>
        <w:t>Onde os textos são recebidos e reinterpretados (caps. 6 e 7). Os contextos dos resultados e da estratégia política foram acrescentados por Ball depois.</w:t>
      </w:r>
    </w:p>
    <w:p>
      <w:pPr>
        <w:pStyle w:val="ListBullet"/>
      </w:pPr>
      <w:r>
        <w:rPr>
          <w:b/>
        </w:rPr>
        <w:t xml:space="preserve">Atuação ou encenação (enactment): </w:t>
      </w:r>
      <w:r>
        <w:t>Interpretar (ler e produzir sentidos) e traduzir (transformar a leitura em planejamentos, rotinas, registros e atividades). "A política é complexamente codificada [...] e é decodificada (e recodificada)" (BMB, 2016, p. 14).</w:t>
      </w:r>
    </w:p>
    <w:p>
      <w:pPr>
        <w:pStyle w:val="ListBullet"/>
      </w:pPr>
      <w:r>
        <w:rPr>
          <w:b/>
        </w:rPr>
        <w:t xml:space="preserve">Quatro dimensões do contexto: </w:t>
      </w:r>
      <w:r>
        <w:t>Situada (localidade, história, público), culturas profissionais, material (edifícios, orçamento, tecnologia, infraestrutura) e externa (pressões e apoios) (BMB, 2016, p. 38). O contexto é "uma força ‘ativa’" (p. 42).</w:t>
      </w:r>
    </w:p>
    <w:p>
      <w:pPr>
        <w:pStyle w:val="ListBullet"/>
      </w:pPr>
      <w:r>
        <w:rPr>
          <w:b/>
        </w:rPr>
        <w:t xml:space="preserve">Restrições e possibilidades materiais: </w:t>
      </w:r>
      <w:r>
        <w:t>As políticas "são intervenções textuais, mas carregam também restrições e possibilidades materiais" (BOWE; BALL; GOLD, 1992, p. 21).</w:t>
      </w:r>
    </w:p>
    <w:p>
      <w:r>
        <w:rPr>
          <w:b/>
        </w:rPr>
        <w:t xml:space="preserve">Autores e obras: </w:t>
      </w:r>
      <w:r>
        <w:t>Bowe, Ball e Gold (1992, p. 21-22); Mainardes (2006); Ball, Maguire e Braun (2016, p. 14, 38, 42, 48); Ball (2011, p. 38): trajetória da política.</w:t>
      </w:r>
    </w:p>
    <w:p>
      <w:r>
        <w:rPr>
          <w:b/>
        </w:rPr>
        <w:t xml:space="preserve">Onde aprofundar: </w:t>
      </w:r>
      <w:r>
        <w:t>Cap. 3, seções 3.1 e 3.2; Cap. 4, seção 4.2 (operacionalização de cada contexto e questões analíticas de Mainardes, 2006).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diferença entre interpretação e tradução?</w:t>
      </w:r>
    </w:p>
    <w:p>
      <w:pPr>
        <w:pStyle w:val="ListBullet"/>
      </w:pPr>
      <w:r>
        <w:rPr>
          <w:i/>
        </w:rPr>
        <w:t>Por que a teoria, construída em escolas inglesas, serve a uma escola de Pipa? (3.2: o compromisso dos profissionais quando tudo começa pela falta).</w:t>
      </w:r>
    </w:p>
    <w:p>
      <w:pPr>
        <w:pStyle w:val="Heading2"/>
      </w:pPr>
      <w:r>
        <w:t>Slide 13 · No contexto da prática</w:t>
      </w:r>
    </w:p>
    <w:p>
      <w:r>
        <w:rPr>
          <w:color w:val="555555"/>
          <w:sz w:val="20"/>
        </w:rPr>
        <w:t>80 s  ·  ao final: 11:35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Dentro do contexto da prática, três noções ajudam a entender o que acontece com a política. As culturas profissionais filtram a leitura. Com Hargreaves, são crenças, valores, hábitos e formas de fazer das comunidades de professores, que podem tomar a forma do individualismo, da colaboração, da colegialidade artificial ou da balcanização. O que uma equipe considera um bom trabalho pesa sobre o que será priorizado. A performatividade pressiona. Ball a descreve como prestação de contas feita de julgamentos, comparações e exposições, e chama de fabricação a escola produzida para ser vista. Se a PNED traz essas exigências à escola é questão para os dados. As relações de poder tensionam. Com Foucault, o poder não é unívoco e tem focos de instabilidade; por isso as formas de atuação vão da adesão à resistência, sem que nenhuma seja pressuposta. Ball adverte contra culpar a escola e contra heroicizar os sujeitos, e Freire lembra que, sem condições favoráveis, o professor se move menos eficazmente no espaço pedagógico.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Três noções explicam o que filtra, o que pressiona e o que tensiona a atuação.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Culturas profissionais: </w:t>
      </w:r>
      <w:r>
        <w:t>"Crenças, valores, hábitos e formas de fazer as coisas assumidas pelas comunidades de professores" (HARGREAVES, 2005, p. 189). Conteúdo (pressupostos e valores) e forma (padrões de relação).</w:t>
      </w:r>
    </w:p>
    <w:p>
      <w:pPr>
        <w:pStyle w:val="ListBullet"/>
      </w:pPr>
      <w:r>
        <w:rPr>
          <w:b/>
        </w:rPr>
        <w:t xml:space="preserve">Formas das culturas: </w:t>
      </w:r>
      <w:r>
        <w:t>Individualismo, colaboração, colegialidade artificial e balcanização (HARGREAVES, 2005, p. 189-191).</w:t>
      </w:r>
    </w:p>
    <w:p>
      <w:pPr>
        <w:pStyle w:val="ListBullet"/>
      </w:pPr>
      <w:r>
        <w:rPr>
          <w:b/>
        </w:rPr>
        <w:t xml:space="preserve">Performatividade: </w:t>
      </w:r>
      <w:r>
        <w:t>Cultura de metas, comparações e prestação de contas (BALL, 2004); "regime de prestação de contas que emprega julgamentos, comparações e exposições como meios de controle, desgaste e mudança" (BALL, 2008, p. 49). Opera por tecnologias políticas (p. 41).</w:t>
      </w:r>
    </w:p>
    <w:p>
      <w:pPr>
        <w:pStyle w:val="ListBullet"/>
      </w:pPr>
      <w:r>
        <w:rPr>
          <w:b/>
        </w:rPr>
        <w:t xml:space="preserve">Fabricação: </w:t>
      </w:r>
      <w:r>
        <w:t>Versões da escola produzidas para serem vistas e avaliadas, sem supor má-fé (BALL, 2002). Na PNED: autodiagnóstico e monitoramento (art. 3º, § 1º).</w:t>
      </w:r>
    </w:p>
    <w:p>
      <w:pPr>
        <w:pStyle w:val="ListBullet"/>
      </w:pPr>
      <w:r>
        <w:rPr>
          <w:b/>
        </w:rPr>
        <w:t xml:space="preserve">Poder e resistência: </w:t>
      </w:r>
      <w:r>
        <w:t>Relações de poder "não são unívocas" e têm "focos de instabilidade" (FOUCAULT, 1999, p. 29). A política como "economia de discursos da verdade" (FOUCAULT, 1980, p. 93 apud BMB, 2016, p. 21).</w:t>
      </w:r>
    </w:p>
    <w:p>
      <w:pPr>
        <w:pStyle w:val="ListBullet"/>
      </w:pPr>
      <w:r>
        <w:rPr>
          <w:b/>
        </w:rPr>
        <w:t xml:space="preserve">Contrapesos: </w:t>
      </w:r>
      <w:r>
        <w:t>Contra culpar a escola e o professor (BALL, 2011, p. 36, 45-46) e contra os "heróis althusserianos" (p. 46); sem condições, o professor "se move menos eficazmente" (FREIRE, 2019, p. 64-65).</w:t>
      </w:r>
    </w:p>
    <w:p>
      <w:r>
        <w:rPr>
          <w:b/>
        </w:rPr>
        <w:t xml:space="preserve">Autores e obras: </w:t>
      </w:r>
      <w:r>
        <w:t>Hargreaves (2005); Ball (2002; 2004; 2008; 2011); Foucault (1999); Freire (2019).</w:t>
      </w:r>
    </w:p>
    <w:p>
      <w:r>
        <w:rPr>
          <w:b/>
        </w:rPr>
        <w:t xml:space="preserve">Onde aprofundar: </w:t>
      </w:r>
      <w:r>
        <w:t>Cap. 3, seções 3.3, 3.4 e 3.5; Cap. 4, seção 4.3.1 (critérios de leitura das formas de atuação).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Quando uma prática distante da norma é resistência e quando é falta de condições? (3.5 e 4.3.1).</w:t>
      </w:r>
    </w:p>
    <w:p>
      <w:pPr>
        <w:pStyle w:val="Heading2"/>
      </w:pPr>
      <w:r>
        <w:t>Slide 14 · Onde a política é posta em ato</w:t>
      </w:r>
    </w:p>
    <w:p>
      <w:r>
        <w:rPr>
          <w:color w:val="555555"/>
          <w:sz w:val="20"/>
        </w:rPr>
        <w:t>65 s  ·  ao final: 12:40</w:t>
      </w:r>
    </w:p>
    <w:p>
      <w:r>
        <w:rPr>
          <w:i/>
          <w:color w:val="555555"/>
        </w:rPr>
        <w:t>[Ler devagar a definição no cartão da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Falta dizer onde a política é posta em ato. Com Milton Santos, a categoria de análise é o território usado, e as rugosidades são o que fica do passado como forma e paisagem. Com Doreen Massey, o lugar é um encontro de trajetórias. Tibau do Sul reúne lugares assim, e em Pipa as crianças da escola vêm de famílias de moradores antigos, de migrantes, de estrangeiros e de pessoas ligadas ao turismo. Desse diálogo, somado à tradição do habitar em Schlemmer, Backes e Palagi e em Di Felice, nasce a formulação própria da tese: habitar o digital designa as maneiras pelas quais as tecnologias digitais atravessam os espaços, as relações e as práticas cotidianas de um território, produzindo possibilidades desiguais de acesso, participação e apropriação. A formulação será confrontada com os dados e poderá ser revista.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Território, lugar e a formulação própria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Território usado: </w:t>
      </w:r>
      <w:r>
        <w:t>O território tomado pelas relações, usos e conflitos (SANTOS, 1999, p. 19).</w:t>
      </w:r>
    </w:p>
    <w:p>
      <w:pPr>
        <w:pStyle w:val="ListBullet"/>
      </w:pPr>
      <w:r>
        <w:rPr>
          <w:b/>
        </w:rPr>
        <w:t xml:space="preserve">Rugosidades: </w:t>
      </w:r>
      <w:r>
        <w:t>"O que fica do passado como forma, espaço construído, paisagem" (SANTOS, 2006, p. 92).</w:t>
      </w:r>
    </w:p>
    <w:p>
      <w:pPr>
        <w:pStyle w:val="ListBullet"/>
      </w:pPr>
      <w:r>
        <w:rPr>
          <w:b/>
        </w:rPr>
        <w:t xml:space="preserve">Lugar: </w:t>
      </w:r>
      <w:r>
        <w:t>"Um encontro de trajetórias" (MASSEY, 2008, p. 204); espaço como esfera da multiplicidade (p. 29).</w:t>
      </w:r>
    </w:p>
    <w:p>
      <w:pPr>
        <w:pStyle w:val="ListBullet"/>
      </w:pPr>
      <w:r>
        <w:rPr>
          <w:b/>
        </w:rPr>
        <w:t xml:space="preserve">Habitar: </w:t>
      </w:r>
      <w:r>
        <w:t>"Tem o significado de estar presente" e "natureza relacional" (SCHLEMMER; BACKES; PALAGI, 2021, p. 15); Educação OnLIFE (p. 24); habitar como prática comunicativa (p. 17).</w:t>
      </w:r>
    </w:p>
    <w:p>
      <w:pPr>
        <w:pStyle w:val="ListBullet"/>
      </w:pPr>
      <w:r>
        <w:rPr>
          <w:b/>
        </w:rPr>
        <w:t xml:space="preserve">Habitar atópico e ecossistemas informativos: </w:t>
      </w:r>
      <w:r>
        <w:t>Habitar realizado por interfaces, em rede (DI FELICE, 2009, p. 20, citação indireta). Escrita artificial e "novo modo de habitar" (p. 102).</w:t>
      </w:r>
    </w:p>
    <w:p>
      <w:pPr>
        <w:pStyle w:val="ListBullet"/>
      </w:pPr>
      <w:r>
        <w:rPr>
          <w:b/>
        </w:rPr>
        <w:t xml:space="preserve">Habitar o digital: </w:t>
      </w:r>
      <w:r>
        <w:t>Formulação da tese: maneiras pelas quais as tecnologias digitais atravessam os espaços, as relações e as práticas cotidianas de um território, produzindo possibilidades desiguais de acesso, participação e apropriação.</w:t>
      </w:r>
    </w:p>
    <w:p>
      <w:pPr>
        <w:pStyle w:val="ListBullet"/>
      </w:pPr>
      <w:r>
        <w:rPr>
          <w:b/>
        </w:rPr>
        <w:t xml:space="preserve">Plataformas, dados e solucionismo: </w:t>
      </w:r>
      <w:r>
        <w:t>Capitalismo de vigilância (ZUBOFF, 2021, n. p.); privacidade como adversária do mercado de dados (SILVEIRA, 2017, p. 34); solucionismo (MOROZOV, 2018, p. 64, 88, 110); sujeitos como "produtores ativos de cultura" (PRETTO; CORDEIRO; OLIVEIRA, 2013, p. 35). Contexto teórico, sem virar categoria de análise; entra pelo Eixo 6 da entrevista.</w:t>
      </w:r>
    </w:p>
    <w:p>
      <w:r>
        <w:rPr>
          <w:b/>
        </w:rPr>
        <w:t xml:space="preserve">Autores e obras: </w:t>
      </w:r>
      <w:r>
        <w:t>Santos (1999; 2006); Massey (2008); Schlemmer, Backes e Palagi (2021); Di Felice (2009); Zuboff (2021); Silveira (2017); Morozov (2018); Pretto, Cordeiro e Oliveira (2013).</w:t>
      </w:r>
    </w:p>
    <w:p>
      <w:r>
        <w:rPr>
          <w:b/>
        </w:rPr>
        <w:t xml:space="preserve">Onde aprofundar: </w:t>
      </w:r>
      <w:r>
        <w:t>Cap. 3, seções 3.6 e 3.6.1; Cap. 6, seção 6.4.2 (as formas de habitar o digital em Pipa).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Habitar o digital é sinônimo de inclusão digital? (não: vai além de acesso e posse, 3.6).</w:t>
      </w:r>
    </w:p>
    <w:p>
      <w:pPr>
        <w:pStyle w:val="Heading2"/>
      </w:pPr>
      <w:r>
        <w:t>Slide 15 · Conceitos e teóricos que guiam a tese</w:t>
      </w:r>
    </w:p>
    <w:p>
      <w:r>
        <w:rPr>
          <w:color w:val="555555"/>
          <w:sz w:val="20"/>
        </w:rPr>
        <w:t>43 s  ·  ao final: 13:23</w:t>
      </w:r>
    </w:p>
    <w:p>
      <w:r>
        <w:rPr>
          <w:i/>
          <w:color w:val="555555"/>
        </w:rPr>
        <w:t>[Apontar as quatro colunas da esquerda para a direita e, por fim, a faixa amarela.]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Antes da metodologia, reúno os conceitos e os autores que guiam a tese. A política é lida pelo ciclo de políticas, de Bowe, Ball e Gold, com Mainardes, e pela teoria da atuação de Ball, Maguire e Braun. Os profissionais, pelas culturas profissionais de Hargreaves, pela performatividade em Ball, pelo poder em Foucault e pelos sentidos em Hall. O território, por Milton Santos e Doreen Massey e pelo habitar em Schlemmer, Backes e Palagi. As crianças, pelo Comentário Geral nº 25 da ONU. Daí nascem as três formulações da tese.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30623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0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Síntese do quadro teórico em quatro frentes (política, profissionais, território, crianças) e as três formulações próprias da tese.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política: </w:t>
      </w:r>
      <w:r>
        <w:t>Ciclo de políticas (BOWE; BALL; GOLD, 1992; MAINARDES, 2006); atuação como interpretar e traduzir (BALL; MAGUIRE; BRAUN, 2016); recontextualização, a política "recriada" na prática (BOWE; BALL; GOLD, 1992, p. 22).</w:t>
      </w:r>
    </w:p>
    <w:p>
      <w:pPr>
        <w:pStyle w:val="ListBullet"/>
      </w:pPr>
      <w:r>
        <w:rPr>
          <w:b/>
        </w:rPr>
        <w:t xml:space="preserve">Os profissionais: </w:t>
      </w:r>
      <w:r>
        <w:t>Culturas profissionais (HARGREAVES, 2005); performatividade e fabricação (BALL, 2002; 2008); poder e resistência (FOUCAULT, 1999; BALL, 2011; FREIRE, 2019); sentidos que organizam ações (HALL, 2006).</w:t>
      </w:r>
    </w:p>
    <w:p>
      <w:pPr>
        <w:pStyle w:val="ListBullet"/>
      </w:pPr>
      <w:r>
        <w:rPr>
          <w:b/>
        </w:rPr>
        <w:t xml:space="preserve">O território: </w:t>
      </w:r>
      <w:r>
        <w:t>Território usado e rugosidades (SANTOS, 1999; 2006; 2012); lugar como encontro de trajetórias (MASSEY, 2008); habitar e Educação OnLIFE (SCHLEMMER; BACKES; PALAGI, 2021; DI FELICE, 2009).</w:t>
      </w:r>
    </w:p>
    <w:p>
      <w:pPr>
        <w:pStyle w:val="ListBullet"/>
      </w:pPr>
      <w:r>
        <w:rPr>
          <w:b/>
        </w:rPr>
        <w:t xml:space="preserve">As crianças: </w:t>
      </w:r>
      <w:r>
        <w:t>Provisão, proteção e participação no ambiente digital (ONU, 2021); direitos do eixo à participação e à proteção dos dados (BRASIL, 2023, art. 3º, III e IV).</w:t>
      </w:r>
    </w:p>
    <w:p>
      <w:pPr>
        <w:pStyle w:val="ListBullet"/>
      </w:pPr>
      <w:r>
        <w:rPr>
          <w:b/>
        </w:rPr>
        <w:t xml:space="preserve">Formulações da tese: </w:t>
      </w:r>
      <w:r>
        <w:t>Habitar o digital (cap. 3), rugosidade tecnológica (cap. 6) e vazio material (cap. 5).</w:t>
      </w:r>
    </w:p>
    <w:p>
      <w:r>
        <w:rPr>
          <w:b/>
        </w:rPr>
        <w:t xml:space="preserve">Autores e obras: </w:t>
      </w:r>
      <w:r>
        <w:t>Os mesmos autores dos slides 12 a 14, reunidos.</w:t>
      </w:r>
    </w:p>
    <w:p>
      <w:r>
        <w:rPr>
          <w:b/>
        </w:rPr>
        <w:t xml:space="preserve">Onde aprofundar: </w:t>
      </w:r>
      <w:r>
        <w:t>Cap. 3, seções 3.1 a 3.6.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autores de tradições diferentes conversam na tese? (o ciclo de políticas organiza; a atuação explica o contexto da prática; o território situa; os direitos das crianças dão o critério de leitura).</w:t>
      </w:r>
    </w:p>
    <w:p>
      <w:pPr>
        <w:pStyle w:val="ListBullet"/>
      </w:pPr>
      <w:r>
        <w:rPr>
          <w:i/>
        </w:rPr>
        <w:t>Por que Hall aparece entre os teóricos? (sentidos que organizam ações; aproximação declarada, slide 4).</w:t>
      </w:r>
    </w:p>
    <w:p>
      <w:r>
        <w:br w:type="page"/>
      </w:r>
    </w:p>
    <w:p>
      <w:pPr>
        <w:pStyle w:val="Heading1"/>
      </w:pPr>
      <w:r>
        <w:t>METODOLOGIA</w:t>
      </w:r>
    </w:p>
    <w:p>
      <w:pPr>
        <w:pStyle w:val="Heading2"/>
      </w:pPr>
      <w:r>
        <w:t>Slide 16 · Divisor: Metodologia</w:t>
      </w:r>
    </w:p>
    <w:p>
      <w:r>
        <w:rPr>
          <w:color w:val="555555"/>
          <w:sz w:val="20"/>
        </w:rPr>
        <w:t>10 s  ·  ao final: 13:33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Vejamos como esse quadro se converte em procedimentos, no capítulo 4.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4.</w:t>
      </w:r>
    </w:p>
    <w:p>
      <w:r>
        <w:rPr>
          <w:b/>
        </w:rPr>
        <w:t xml:space="preserve">Onde aprofundar: </w:t>
      </w:r>
      <w:r>
        <w:t>Cap. 4.</w:t>
      </w:r>
    </w:p>
    <w:p>
      <w:pPr>
        <w:pStyle w:val="Heading2"/>
      </w:pPr>
      <w:r>
        <w:t>Slide 17 · Desenho e participantes</w:t>
      </w:r>
    </w:p>
    <w:p>
      <w:r>
        <w:rPr>
          <w:color w:val="555555"/>
          <w:sz w:val="20"/>
        </w:rPr>
        <w:t>50 s  ·  ao final: 14:23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pesquisa é qualitativa e interpretativa, como a define Minayo, e se organiza como estudo de caso único, nos termos de Yin: o caso é a encenação da PNED na escola de Pipa. O percurso em funil passa pelo território municipal e pelos documentos da Secretaria antes de chegar a Pipa e à escola. Não faremos observação de aula, delimitação que Ball, Maguire e Braun também adotaram. Participam um técnico da Secretaria, cuja entrevista abre o campo, e 24 profissionais da escola. A escola tem 351 crianças em quinze turmas, que não participam da produção de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Estudo de caso único, qualitativo: o caso é a encenação da PNED na escola de Pipa; o percurso em funil passa pelo território e pela SME. Participam 24 profissionais e um técnico da SME.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Abordagem qualitativa: </w:t>
      </w:r>
      <w:r>
        <w:t>Trabalha com sentidos, experiências, valores e interpretações (MINAYO, 2009).</w:t>
      </w:r>
    </w:p>
    <w:p>
      <w:pPr>
        <w:pStyle w:val="ListBullet"/>
      </w:pPr>
      <w:r>
        <w:rPr>
          <w:b/>
        </w:rPr>
        <w:t xml:space="preserve">Estudo de caso único: </w:t>
      </w:r>
      <w:r>
        <w:t>Fenômeno contemporâneo em contexto real, com limites pouco definidos (YIN, 2001). O caso é a escola de Pipa; a rede e a SME entram como contexto, sem "unidades incorporadas".</w:t>
      </w:r>
    </w:p>
    <w:p>
      <w:pPr>
        <w:pStyle w:val="ListBullet"/>
      </w:pPr>
      <w:r>
        <w:rPr>
          <w:b/>
        </w:rPr>
        <w:t xml:space="preserve">Delimitação sem observação de aula: </w:t>
      </w:r>
      <w:r>
        <w:t>Mesma delimitação de Ball, Maguire e Braun: "temos de confiar nos relatos dos professores" (2016, p. 49).</w:t>
      </w:r>
    </w:p>
    <w:p>
      <w:pPr>
        <w:pStyle w:val="ListBullet"/>
      </w:pPr>
      <w:r>
        <w:rPr>
          <w:b/>
        </w:rPr>
        <w:t xml:space="preserve">Análise temática reflexiva: </w:t>
      </w:r>
      <w:r>
        <w:t>A subjetividade de quem analisa é recurso e precisa ser explicitada (BRAUN; CLARKE, 2006, 2019).</w:t>
      </w:r>
    </w:p>
    <w:p>
      <w:pPr>
        <w:pStyle w:val="ListBullet"/>
      </w:pPr>
      <w:r>
        <w:rPr>
          <w:b/>
        </w:rPr>
        <w:t xml:space="preserve">Participantes: </w:t>
      </w:r>
      <w:r>
        <w:t>Diretor, vice-diretora, coordenadora pedagógica, 4 do apoio pedagógico, 15 regentes e 2 no apoio à recomposição de aula; mais 1 técnico da SME. 351 crianças em 15 turmas (TIBAU DO SUL, 2026), que não participam da produção de dados.</w:t>
      </w:r>
    </w:p>
    <w:p>
      <w:r>
        <w:rPr>
          <w:b/>
        </w:rPr>
        <w:t xml:space="preserve">Autores e obras: </w:t>
      </w:r>
      <w:r>
        <w:t>Minayo (2009); Yin (2001); Braun e Clarke (2006; 2019); Tibau do Sul (2026), relatório de turmas.</w:t>
      </w:r>
    </w:p>
    <w:p>
      <w:r>
        <w:rPr>
          <w:b/>
        </w:rPr>
        <w:t xml:space="preserve">Onde aprofundar: </w:t>
      </w:r>
      <w:r>
        <w:t>Cap. 4, seções 4.1 (posicionamento, abordagem, estudo de caso) e 4.4.1 (participantes).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Como a proximidade da pesquisadora com a rede é controlada? (4.1.2).</w:t>
      </w:r>
    </w:p>
    <w:p>
      <w:r>
        <w:rPr>
          <w:b/>
          <w:color w:val="B03A2E"/>
        </w:rPr>
        <w:t xml:space="preserve">Cuidado: </w:t>
      </w:r>
      <w:r>
        <w:t>Fato: os números de participantes e crianças vêm do relatório de turmas (TIBAU DO SUL, 2026).</w:t>
      </w:r>
    </w:p>
    <w:p>
      <w:pPr>
        <w:pStyle w:val="Heading2"/>
      </w:pPr>
      <w:r>
        <w:t>Slide 18 · Construção dos dados</w:t>
      </w:r>
    </w:p>
    <w:p>
      <w:r>
        <w:rPr>
          <w:color w:val="555555"/>
          <w:sz w:val="20"/>
        </w:rPr>
        <w:t>50 s  ·  ao final: 15:13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Os dados serão construídos em cinco movimentos, da rede à escola. O primeiro é a análise documental: o plano da rede, o currículo e as formações da Secretaria e, na escola, o Projeto Político-Pedagógico e os planos, documentos já solicitados ao técnico e à direção. O segundo lê o território municipal com dados do IBGE e do Censo Escolar e reúne as 38 imagens de Pipa e da escola. O terceiro é o questionário; o quarto, as entrevistas, começando pelo técnico; o quinto, a análise e a devolutiva. A emenda ao Comitê de Ética, com a Secretaria como coparticipante, ainda será submetida.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1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movimentos e o campo; documentos já solicitados à direção e à Secretaria.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Análise documental: </w:t>
      </w:r>
      <w:r>
        <w:t>Lida em diálogo com a ACP, por matriz orientada pelos objetivos (4.4.3).</w:t>
      </w:r>
    </w:p>
    <w:p>
      <w:pPr>
        <w:pStyle w:val="ListBullet"/>
      </w:pPr>
      <w:r>
        <w:rPr>
          <w:b/>
        </w:rPr>
        <w:t xml:space="preserve">Território: </w:t>
      </w:r>
      <w:r>
        <w:t>IBGE e Censo Escolar por localidade e 38 imagens de Pipa e da escola, lidas como evidência da configuração material visível.</w:t>
      </w:r>
    </w:p>
    <w:p>
      <w:pPr>
        <w:pStyle w:val="ListBullet"/>
      </w:pPr>
      <w:r>
        <w:rPr>
          <w:b/>
        </w:rPr>
        <w:t xml:space="preserve">Registro iconográfico: </w:t>
      </w:r>
      <w:r>
        <w:t>Imagens como evidência da configuração material visível, sem valor de prova sobre práticas (4.4.4).</w:t>
      </w:r>
    </w:p>
    <w:p>
      <w:pPr>
        <w:pStyle w:val="ListBullet"/>
      </w:pPr>
      <w:r>
        <w:rPr>
          <w:b/>
        </w:rPr>
        <w:t xml:space="preserve">Lentes sensibilizadoras: </w:t>
      </w:r>
      <w:r>
        <w:t>Conceitos que orientam a primeira leitura dos dados sem se tornarem categorias fechadas (4.5.1).</w:t>
      </w:r>
    </w:p>
    <w:p>
      <w:pPr>
        <w:pStyle w:val="ListBullet"/>
      </w:pPr>
      <w:r>
        <w:rPr>
          <w:b/>
        </w:rPr>
        <w:t xml:space="preserve">Ética: </w:t>
      </w:r>
      <w:r>
        <w:t>Emenda ao protocolo aprovado no CEP; TCLE; pseudônimos; Res. CNS nº 466/2012 e nº 510/2016.</w:t>
      </w:r>
    </w:p>
    <w:p>
      <w:r>
        <w:rPr>
          <w:b/>
        </w:rPr>
        <w:t xml:space="preserve">Autores e obras: </w:t>
      </w:r>
      <w:r>
        <w:t>Mainardes (2006); Braun e Clarke (2006; 2019); BRASIL (2012; 2016).</w:t>
      </w:r>
    </w:p>
    <w:p>
      <w:r>
        <w:rPr>
          <w:b/>
        </w:rPr>
        <w:t xml:space="preserve">Onde aprofundar: </w:t>
      </w:r>
      <w:r>
        <w:t>Cap. 4, seções 4.4.2 a 4.4.6, 4.5.1, 4.5.2 e 4.5.4 (cronograma); Apêndices D (questionário) e E (roteiros).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Qual a função do questionário, se não há generalização estatística? (caracterizar e contextualizar, 4.4.5).</w:t>
      </w:r>
    </w:p>
    <w:p>
      <w:r>
        <w:rPr>
          <w:b/>
          <w:color w:val="B03A2E"/>
        </w:rPr>
        <w:t xml:space="preserve">Cuidado: </w:t>
      </w:r>
      <w:r>
        <w:t>Fato: a emenda ao CEP ainda não foi submetida; dizer "será submetida".</w:t>
      </w:r>
    </w:p>
    <w:p>
      <w:r>
        <w:br w:type="page"/>
      </w:r>
    </w:p>
    <w:p>
      <w:pPr>
        <w:pStyle w:val="Heading1"/>
      </w:pPr>
      <w:r>
        <w:t>AGENDA GLOBAL E PNED</w:t>
      </w:r>
    </w:p>
    <w:p>
      <w:pPr>
        <w:pStyle w:val="Heading2"/>
      </w:pPr>
      <w:r>
        <w:t>Slide 19 · Divisor: Agenda global e PNED</w:t>
      </w:r>
    </w:p>
    <w:p>
      <w:r>
        <w:rPr>
          <w:color w:val="555555"/>
          <w:sz w:val="20"/>
        </w:rPr>
        <w:t>10 s  ·  ao final: 15:23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5 lê os contextos de influência e de produção do texto.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5.</w:t>
      </w:r>
    </w:p>
    <w:p>
      <w:r>
        <w:rPr>
          <w:b/>
        </w:rPr>
        <w:t xml:space="preserve">Onde aprofundar: </w:t>
      </w:r>
      <w:r>
        <w:t>Cap. 5.</w:t>
      </w:r>
    </w:p>
    <w:p>
      <w:pPr>
        <w:pStyle w:val="Heading2"/>
      </w:pPr>
      <w:r>
        <w:t>Slide 20 · O que outros territórios nos ensinam</w:t>
      </w:r>
    </w:p>
    <w:p>
      <w:r>
        <w:rPr>
          <w:color w:val="555555"/>
          <w:sz w:val="20"/>
        </w:rPr>
        <w:t>65 s  ·  ao final: 16:28</w:t>
      </w:r>
    </w:p>
    <w:p>
      <w:r>
        <w:rPr>
          <w:i/>
          <w:color w:val="555555"/>
        </w:rPr>
        <w:t>[Apontar no mapa cada país citado; não ler a lista inteira.]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capítulo começa pelas agendas da UNESCO, da OCDE e do Banco Mundial, que, com suas diferenças, deslocam o foco da presença dos recursos para as condições, os usos e as finalidades. Em seguida, compara experiências de outros territórios. O mapa reúne nove casos nas Américas, dez na Europa e o Brasil em destaque, e a cor indica a categoria principal que cada experiência informa. Nos Estados Unidos, os fossos de acesso, desenho e uso; no Uruguai, o Plan Ceibal, com acesso universal e continuidade entre governos; na Argentina, três reversões normativas em quinze anos. Na Europa, a União Europeia oferece referenciais comuns e uma estratégia de proteção infantil; a Alemanha mostra que recursos não substituem a coordenação entre escalas; e a Finlândia delega ao município a decisão sobre o uso das tecnologias, cadeia parecida com a que acompanhamos em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Mapa de 20 experiências (Américas, Europa e Brasil) com o foco de cada política.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Agendas internacionais: </w:t>
      </w:r>
      <w:r>
        <w:t>UNESCO (2023): condições e interação com professores; OCDE (2015): dúvida sobre a tradução direta do investimento em aprendizagem; Banco Mundial (2020): começa pela finalidade educacional.</w:t>
      </w:r>
    </w:p>
    <w:p>
      <w:pPr>
        <w:pStyle w:val="ListBullet"/>
      </w:pPr>
      <w:r>
        <w:rPr>
          <w:b/>
        </w:rPr>
        <w:t xml:space="preserve">Perspectiva comparada: </w:t>
      </w:r>
      <w:r>
        <w:t>Como uma mesma diretriz muda de forma ao encontrar outro sistema, outras instituições e outro território.</w:t>
      </w:r>
    </w:p>
    <w:p>
      <w:pPr>
        <w:pStyle w:val="ListBullet"/>
      </w:pPr>
      <w:r>
        <w:rPr>
          <w:b/>
        </w:rPr>
        <w:t xml:space="preserve">Fossos de acesso, desenho e uso: </w:t>
      </w:r>
      <w:r>
        <w:t>Distinção do National Educational Technology Plan (EUA, 2024).</w:t>
      </w:r>
    </w:p>
    <w:p>
      <w:pPr>
        <w:pStyle w:val="ListBullet"/>
      </w:pPr>
      <w:r>
        <w:rPr>
          <w:b/>
        </w:rPr>
        <w:t xml:space="preserve">Categoria principal (cor do mapa): </w:t>
      </w:r>
      <w:r>
        <w:t>A cor de cada país indica a categoria que a experiência mais informa.</w:t>
      </w:r>
    </w:p>
    <w:p>
      <w:r>
        <w:rPr>
          <w:b/>
        </w:rPr>
        <w:t xml:space="preserve">Autores e obras: </w:t>
      </w:r>
      <w:r>
        <w:t>UNESCO (2023); OCDE (2015); Banco Mundial (2020); Documentos oficiais de cada país (Quadros 10 e 11).</w:t>
      </w:r>
    </w:p>
    <w:p>
      <w:r>
        <w:rPr>
          <w:b/>
        </w:rPr>
        <w:t xml:space="preserve">Onde aprofundar: </w:t>
      </w:r>
      <w:r>
        <w:t>Cap. 5, seções 5.1, 5.2.1 (Europa, Quadro 10) e 5.2.2 (Américas, Quadro 11).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comparar com outros países, se o objeto é uma escola? (contexto de influência e categorias, 5.2.3).</w:t>
      </w:r>
    </w:p>
    <w:p>
      <w:pPr>
        <w:pStyle w:val="Heading2"/>
      </w:pPr>
      <w:r>
        <w:t>Slide 21 · O que a comparação traz para a tese</w:t>
      </w:r>
    </w:p>
    <w:p>
      <w:r>
        <w:rPr>
          <w:color w:val="555555"/>
          <w:sz w:val="20"/>
        </w:rPr>
        <w:t>70 s  ·  ao final: 17:38</w:t>
      </w:r>
    </w:p>
    <w:p>
      <w:r>
        <w:rPr>
          <w:i/>
          <w:color w:val="555555"/>
        </w:rPr>
        <w:t>[As cores dos cartões são as mesmas do mapa.]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O que essa comparação traz para a tese? Das recorrências e das diferenças saem cinco categorias sensibilizadoras, que vão orientar a leitura do campo. A governança, porque coordenar escalas faz parte da política, e perguntaremos o que chega da União e do estado à rede e o que a Secretaria repassa à escola. A formação, porque a mediação dos profissionais é condição do uso, e perguntaremos que formação chegou e quando. A infraestrutura, condição relevante e insuficiente, que leva à pergunta sobre os equipamentos com que se trabalha. A continuidade institucional, que leva à história da rede municipal. E a cultura digital, ligada à cidadania e à proteção, que pergunta o que se faz com crianças de seis a dez anos. Nenhuma experiência descreve Pipa, e fica a pergunta que nenhum caso responde: o que acontece quando a PNED chega a uma escola onde parte dessas condições não está garantida?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94609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46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Cinco categorias sensibilizadoras e a pergunta que nenhum caso responde.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Governança: </w:t>
      </w:r>
      <w:r>
        <w:t>Coordenação entre escalas de governo (União, estado, município).</w:t>
      </w:r>
    </w:p>
    <w:p>
      <w:pPr>
        <w:pStyle w:val="ListBullet"/>
      </w:pPr>
      <w:r>
        <w:rPr>
          <w:b/>
        </w:rPr>
        <w:t xml:space="preserve">Formação: </w:t>
      </w:r>
      <w:r>
        <w:t>Mediação dos profissionais como condição do uso.</w:t>
      </w:r>
    </w:p>
    <w:p>
      <w:pPr>
        <w:pStyle w:val="ListBullet"/>
      </w:pPr>
      <w:r>
        <w:rPr>
          <w:b/>
        </w:rPr>
        <w:t xml:space="preserve">Infraestrutura: </w:t>
      </w:r>
      <w:r>
        <w:t>Condição relevante e insuficiente para a integração pedagógica.</w:t>
      </w:r>
    </w:p>
    <w:p>
      <w:pPr>
        <w:pStyle w:val="ListBullet"/>
      </w:pPr>
      <w:r>
        <w:rPr>
          <w:b/>
        </w:rPr>
        <w:t xml:space="preserve">Continuidade institucional: </w:t>
      </w:r>
      <w:r>
        <w:t>A continuidade favorece a institucionalização sem impedir rupturas.</w:t>
      </w:r>
    </w:p>
    <w:p>
      <w:pPr>
        <w:pStyle w:val="ListBullet"/>
      </w:pPr>
      <w:r>
        <w:rPr>
          <w:b/>
        </w:rPr>
        <w:t xml:space="preserve">Cultura digital: </w:t>
      </w:r>
      <w:r>
        <w:t>Educação digital além do domínio técnico; dialoga com o inciso III do eixo.</w:t>
      </w:r>
    </w:p>
    <w:p>
      <w:r>
        <w:rPr>
          <w:b/>
        </w:rPr>
        <w:t xml:space="preserve">Autores e obras: </w:t>
      </w:r>
      <w:r>
        <w:t>Quadro 12 do cap. 5, construído a partir dos Quadros 10 e 11.</w:t>
      </w:r>
    </w:p>
    <w:p>
      <w:r>
        <w:rPr>
          <w:b/>
        </w:rPr>
        <w:t xml:space="preserve">Onde aprofundar: </w:t>
      </w:r>
      <w:r>
        <w:t>Cap. 5, seção 5.2.3 e Quadro 12.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As categorias são padrões a confirmar? (não: lentes heurísticas, abertas ao campo, 5.2.3).</w:t>
      </w:r>
    </w:p>
    <w:p>
      <w:pPr>
        <w:pStyle w:val="Heading2"/>
      </w:pPr>
      <w:r>
        <w:t>Slide 22 · A PNED e o vazio material</w:t>
      </w:r>
    </w:p>
    <w:p>
      <w:r>
        <w:rPr>
          <w:color w:val="555555"/>
          <w:sz w:val="20"/>
        </w:rPr>
        <w:t>85 s  ·  ao final: 19:03</w:t>
      </w:r>
    </w:p>
    <w:p>
      <w:r>
        <w:rPr>
          <w:i/>
          <w:color w:val="555555"/>
        </w:rPr>
        <w:t>[Ler o cartão da esquerda de cima para baixo; depois o da direita. Pausa em "vazio material".]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 leitura da lei me levou ao ponto que considero mais frágil. Começo pelo que a lei entende por educação digital: letramento digital e informacional e aprendizagem de computação, programação, robótica e outras competências digitais, em todos os níveis e modalidades. Há o que é inegociável. Desde a derrubada do veto, em dezembro de 2023, a educação digital é componente curricular obrigatório do ensino fundamental; a LDB passou a incluí-la entre os deveres do Estado, com conectividade garantida às escolas públicas; e a resolução de 2025 marcou a implementação dos currículos para 2026. Do outro lado estão os meios. A formação aparece como ação de promoção, a inclusão digital se desenvolve dentro dos limites orçamentários de cada ente, e o artigo 11 não cria fundo próprio nem transferência obrigatória aos municípios. Chamo esse desenho de vazio material: a obrigação tem data, e os meios não. Trato isso como proposição a verificar no campo; para separar o desenho da lei da capacidade fiscal do município, ainda preciso reunir os dados de receita e de gasto em educação de Tibau do Sul.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86121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86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O que a lei entende por educação digital, o que torna inegociável e com que meios: a obrigação tem data, os meios dependem de cada ente.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Educação digital, para a lei: </w:t>
      </w:r>
      <w:r>
        <w:t>O art. 3º fixa o objetivo do eixo: "garantir a inserção da educação digital nos ambientes escolares, em todos os níveis e modalidades, a partir do estímulo ao letramento digital e informacional e à aprendizagem de computação, de programação, de robótica e de outras competências digitais". Cinco incisos: pensamento computacional, mundo digital, cultura digital, direitos digitais e tecnologia assistiva (Quadro 14).</w:t>
      </w:r>
    </w:p>
    <w:p>
      <w:pPr>
        <w:pStyle w:val="ListBullet"/>
      </w:pPr>
      <w:r>
        <w:rPr>
          <w:b/>
        </w:rPr>
        <w:t xml:space="preserve">Inegociável 1: componente curricular: </w:t>
      </w:r>
      <w:r>
        <w:t>O dispositivo vetado (Veto Parcial nº 3/2023, Mensagem nº 32) foi restabelecido com a derrubada do veto em 14/12/2023: a educação digital é componente curricular do ensino fundamental, o que alcança os anos iniciais.</w:t>
      </w:r>
    </w:p>
    <w:p>
      <w:pPr>
        <w:pStyle w:val="ListBullet"/>
      </w:pPr>
      <w:r>
        <w:rPr>
          <w:b/>
        </w:rPr>
        <w:t xml:space="preserve">Inegociável 2: dever do Estado: </w:t>
      </w:r>
      <w:r>
        <w:t>A lei inseriu o inciso XII no art. 4º da LDB: educação digital "com a garantia de conectividade de todas as instituições públicas de educação básica e superior à internet em alta velocidade, adequada para o uso pedagógico" (BRASIL, 2023a, art. 7º).</w:t>
      </w:r>
    </w:p>
    <w:p>
      <w:pPr>
        <w:pStyle w:val="ListBullet"/>
      </w:pPr>
      <w:r>
        <w:rPr>
          <w:b/>
        </w:rPr>
        <w:t xml:space="preserve">Inegociável 3: prazo: </w:t>
      </w:r>
      <w:r>
        <w:t>Res. CNE/CEB nº 2/2025: currículos e plano de formação elaborados em 2025, implementação obrigatória a partir de 2026 (art. 36); formação continuada atribuída aos sistemas e às instituições (art. 37).</w:t>
      </w:r>
    </w:p>
    <w:p>
      <w:pPr>
        <w:pStyle w:val="ListBullet"/>
      </w:pPr>
      <w:r>
        <w:rPr>
          <w:b/>
        </w:rPr>
        <w:t xml:space="preserve">Meios: </w:t>
      </w:r>
      <w:r>
        <w:t>Formação como "promoção" (art. 3º, § 1º, IX e X); inclusão digital "dentro dos limites orçamentários" (art. 2º); art. 11 sem fundo próprio nem transferência obrigatória; o Fust perdeu em 2020 a reserva mínima para a educação.</w:t>
      </w:r>
    </w:p>
    <w:p>
      <w:pPr>
        <w:pStyle w:val="ListBullet"/>
      </w:pPr>
      <w:r>
        <w:rPr>
          <w:b/>
        </w:rPr>
        <w:t xml:space="preserve">Vazio material: </w:t>
      </w:r>
      <w:r>
        <w:t>Formulação da tese: falta de mecanismo federativo obrigatório de financiamento, que deixa a chegada dos meios na dependência de cada rede. Proposição a verificar no campo.</w:t>
      </w:r>
    </w:p>
    <w:p>
      <w:r>
        <w:rPr>
          <w:b/>
        </w:rPr>
        <w:t xml:space="preserve">Autores e obras: </w:t>
      </w:r>
      <w:r>
        <w:t>BRASIL (2023a, arts. 1º, 2º, 3º, 7º e 11); BRASIL (2023b), Mensagem de veto nº 32; BRASIL (2023c), promulgação das partes vetadas; BRASIL (2025a, arts. 36 e 37).</w:t>
      </w:r>
    </w:p>
    <w:p>
      <w:r>
        <w:rPr>
          <w:b/>
        </w:rPr>
        <w:t xml:space="preserve">Onde aprofundar: </w:t>
      </w:r>
      <w:r>
        <w:t>Cap. 5, seções 5.3 (trajetória brasileira), 5.4, 5.5 e 5.6; Cap. 1, seção 1.2 (problematização).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inegociável na lei, e o que é só promoção? (cartão da esquerda e cartão da direita).</w:t>
      </w:r>
    </w:p>
    <w:p>
      <w:pPr>
        <w:pStyle w:val="ListBullet"/>
      </w:pPr>
      <w:r>
        <w:rPr>
          <w:i/>
        </w:rPr>
        <w:t>Como separar o desenho da lei da capacidade fiscal do município? (dados de receita e gasto, ainda a reunir, cap. 5).</w:t>
      </w:r>
    </w:p>
    <w:p>
      <w:r>
        <w:rPr>
          <w:b/>
          <w:color w:val="B03A2E"/>
        </w:rPr>
        <w:t xml:space="preserve">Cuidado: </w:t>
      </w:r>
      <w:r>
        <w:t>Fato: os artigos citados vêm do cap. 5. Não conferido aqui no texto original da lei.</w:t>
      </w:r>
    </w:p>
    <w:p>
      <w:r>
        <w:br w:type="page"/>
      </w:r>
    </w:p>
    <w:p>
      <w:pPr>
        <w:pStyle w:val="Heading1"/>
      </w:pPr>
      <w:r>
        <w:t>DO MUNICÍPIO À ESCOLA</w:t>
      </w:r>
    </w:p>
    <w:p>
      <w:pPr>
        <w:pStyle w:val="Heading2"/>
      </w:pPr>
      <w:r>
        <w:t>Slide 23 · Divisor: Do município à escola</w:t>
      </w:r>
    </w:p>
    <w:p>
      <w:r>
        <w:rPr>
          <w:color w:val="555555"/>
          <w:sz w:val="20"/>
        </w:rPr>
        <w:t>10 s  ·  ao final: 19:13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ao capítulo 6, que percorre o caminho de Tibau do Sul até Pipa e até a escola.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Abre o capítulo 6.</w:t>
      </w:r>
    </w:p>
    <w:p>
      <w:r>
        <w:rPr>
          <w:b/>
        </w:rPr>
        <w:t xml:space="preserve">Onde aprofundar: </w:t>
      </w:r>
      <w:r>
        <w:t>Cap. 6.</w:t>
      </w:r>
    </w:p>
    <w:p>
      <w:pPr>
        <w:pStyle w:val="Heading2"/>
      </w:pPr>
      <w:r>
        <w:t>Slide 24 · Tibau do Sul</w:t>
      </w:r>
    </w:p>
    <w:p>
      <w:r>
        <w:rPr>
          <w:color w:val="555555"/>
          <w:sz w:val="20"/>
        </w:rPr>
        <w:t>65 s  ·  ao final: 20:18</w:t>
      </w:r>
    </w:p>
    <w:p>
      <w:r>
        <w:rPr>
          <w:i/>
          <w:color w:val="555555"/>
        </w:rPr>
        <w:t>[Apontar no mapa o litoral e a extensão do município.]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Tibau do Sul tem 102 quilômetros quadrados e tinha 16.929 habitantes no Censo de 2022; em 2010, cerca de 40% da população vivia em área rural, dado que ainda vou conferir. O IBGE reconhece só o distrito sede, mas o município se organiza em localidades muito diferentes: a sede, Pipa, Piau, os povoados rurais e Sibaúma, comunidade quilombola certificada pela Fundação Palmares em 2005. A rede tem escolas nesses lugares, e a história delas importa: em Sibaúma, entre 2007 e 2009, a escola recebeu dois computadores que estragaram sem manutenção, e a internet foi desativada, como registra Silva. Segundo o técnico da Secretaria, há um plano elaborado para a rede como um todo. A pergunta é se a tradução municipal da PNED considera essas diferenças e o que chega, por esse caminho, a Pipa.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73945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39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Um município, muitas localidades: a pergunta é se a tradução municipal da PNED considera essas diferenças e o que chega a Pipa.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O município: </w:t>
      </w:r>
      <w:r>
        <w:t>102,68 km² e 16.929 habitantes (IBGE, 2023; 2025). Cerca de 40% rurais em 2010: dado a conferir.</w:t>
      </w:r>
    </w:p>
    <w:p>
      <w:pPr>
        <w:pStyle w:val="ListBullet"/>
      </w:pPr>
      <w:r>
        <w:rPr>
          <w:b/>
        </w:rPr>
        <w:t xml:space="preserve">Localidades: </w:t>
      </w:r>
      <w:r>
        <w:t>O IBGE reconhece só o distrito sede; o município se organiza em sede, Pipa, Sibaúma, Piau e povoados rurais. Alves (2018, p. 96) chama Pipa e Sibaúma de "distritos".</w:t>
      </w:r>
    </w:p>
    <w:p>
      <w:pPr>
        <w:pStyle w:val="ListBullet"/>
      </w:pPr>
      <w:r>
        <w:rPr>
          <w:b/>
        </w:rPr>
        <w:t xml:space="preserve">Sibaúma: </w:t>
      </w:r>
      <w:r>
        <w:t>Comunidade quilombola certificada pela Fundação Cultural Palmares em 2005. Escola de palha até 1980; computadores em 2007-2009 estragaram sem manutenção e a internet foi desativada (SILVA, 2011, p. 101-102); sem proposta pedagógica quilombola.</w:t>
      </w:r>
    </w:p>
    <w:p>
      <w:pPr>
        <w:pStyle w:val="ListBullet"/>
      </w:pPr>
      <w:r>
        <w:rPr>
          <w:b/>
        </w:rPr>
        <w:t xml:space="preserve">A rede e a SME: </w:t>
      </w:r>
      <w:r>
        <w:t>Escolas na sede, em Pipa, em Sibaúma, em Piau e nos povoados (levantamento preliminar). Segundo o técnico da SME, há um plano elaborado para a rede como um todo.</w:t>
      </w:r>
    </w:p>
    <w:p>
      <w:pPr>
        <w:pStyle w:val="ListBullet"/>
      </w:pPr>
      <w:r>
        <w:rPr>
          <w:b/>
        </w:rPr>
        <w:t xml:space="preserve">Dimensão externa: </w:t>
      </w:r>
      <w:r>
        <w:t>A SME como fonte própria da dimensão externa do contexto (BMB, 2016, p. 38).</w:t>
      </w:r>
    </w:p>
    <w:p>
      <w:r>
        <w:rPr>
          <w:b/>
        </w:rPr>
        <w:t xml:space="preserve">Autores e obras: </w:t>
      </w:r>
      <w:r>
        <w:t>IBGE (2023; 2025); Fundação Cultural Palmares (2005); Silva (2011); Alves (2018); Santos (1999), território usado.</w:t>
      </w:r>
    </w:p>
    <w:p>
      <w:r>
        <w:rPr>
          <w:b/>
        </w:rPr>
        <w:t xml:space="preserve">Onde aprofundar: </w:t>
      </w:r>
      <w:r>
        <w:t>Cap. 6, seções 6.1.1 e 6.1.2; Cap. 4, Quadro 9 (objetivo 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Um plano único para a rede considera as diferenças entre as localidades? (pergunta do campo, a responder com os documentos e a entrevista).</w:t>
      </w:r>
    </w:p>
    <w:p>
      <w:pPr>
        <w:pStyle w:val="ListBullet"/>
      </w:pPr>
      <w:r>
        <w:rPr>
          <w:i/>
        </w:rPr>
        <w:t>O que o caso de Sibaúma ensina sobre a chegada de equipamentos sem manutenção? (rugosidade tecnológica como hipótese, cap. 6).</w:t>
      </w:r>
    </w:p>
    <w:p>
      <w:r>
        <w:rPr>
          <w:b/>
          <w:color w:val="B03A2E"/>
        </w:rPr>
        <w:t xml:space="preserve">Cuidado: </w:t>
      </w:r>
      <w:r>
        <w:t>Estimativa: "cerca de 40% rurais em 2010" está marcado como a conferir; dizer isso na fala.</w:t>
      </w:r>
    </w:p>
    <w:p>
      <w:pPr>
        <w:pStyle w:val="Heading2"/>
      </w:pPr>
      <w:r>
        <w:t>Slide 25 · Pipa</w:t>
      </w:r>
    </w:p>
    <w:p>
      <w:r>
        <w:rPr>
          <w:color w:val="555555"/>
          <w:sz w:val="20"/>
        </w:rPr>
        <w:t>40 s  ·  ao final: 20:58</w:t>
      </w:r>
    </w:p>
    <w:p>
      <w:r>
        <w:rPr>
          <w:i/>
          <w:color w:val="555555"/>
        </w:rPr>
        <w:t>[Apontar as fotografias da esquerda para a direita.]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Pipa é o foco da tese. Nos anos 1970, era uma comunidade agrícola e pesqueira; os surfistas chegaram em meados daquela década, e a divulgação se intensificou nos anos 1990, como registra Aires. As fotografias acompanham esse percurso: a embarcação artesanal, os surfistas em abril de 1991 e a vista aérea de hoje. Hoje, pousadas, restaurantes e passeios se vendem pela internet. Em Pipa, o digital já move a economia do lugar.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De comunidade agrícola e pesqueira a polo turístico, onde o digital já move a economia do lugar.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Transformação do distrito: </w:t>
      </w:r>
      <w:r>
        <w:t>Anos 1970 sem energia elétrica e água encanada; surfistas desde meados da década; divulgação intensa nos anos 1990 (AIRES, 2012, p. 80-82).</w:t>
      </w:r>
    </w:p>
    <w:p>
      <w:pPr>
        <w:pStyle w:val="ListBullet"/>
      </w:pPr>
      <w:r>
        <w:rPr>
          <w:b/>
        </w:rPr>
        <w:t xml:space="preserve">Fases do turismo: </w:t>
      </w:r>
      <w:r>
        <w:t>Alves (2018, p. 100-111) descreve quatro fases do turismo em Pipa.</w:t>
      </w:r>
    </w:p>
    <w:p>
      <w:pPr>
        <w:pStyle w:val="ListBullet"/>
      </w:pPr>
      <w:r>
        <w:rPr>
          <w:b/>
        </w:rPr>
        <w:t xml:space="preserve">Agência dos nativos: </w:t>
      </w:r>
      <w:r>
        <w:t>A população nativa criou "mecanismos de reformulações materiais e simbólicas" (AIRES, 2012, p. 10).</w:t>
      </w:r>
    </w:p>
    <w:p>
      <w:pPr>
        <w:pStyle w:val="ListBullet"/>
      </w:pPr>
      <w:r>
        <w:rPr>
          <w:b/>
        </w:rPr>
        <w:t xml:space="preserve">Contemporaneidade: </w:t>
      </w:r>
      <w:r>
        <w:t>Massey critica a operação que "transforma a geografia em história, o espaço em tempo" (2008, p. 24).</w:t>
      </w:r>
    </w:p>
    <w:p>
      <w:pPr>
        <w:pStyle w:val="ListBullet"/>
      </w:pPr>
      <w:r>
        <w:rPr>
          <w:b/>
        </w:rPr>
        <w:t xml:space="preserve">Escolas de Pipa: </w:t>
      </w:r>
      <w:r>
        <w:t>A EM Vicência Castelo, fundada em 1988, é a única escola pública de anos finais em Pipa, com 4 computadores e sem laboratório (FERREIRA, 2022, p. 50-51).</w:t>
      </w:r>
    </w:p>
    <w:p>
      <w:r>
        <w:rPr>
          <w:b/>
        </w:rPr>
        <w:t xml:space="preserve">Autores e obras: </w:t>
      </w:r>
      <w:r>
        <w:t>Aires (2012); Alves (2018); Ferreira (2022); Massey (2008).</w:t>
      </w:r>
    </w:p>
    <w:p>
      <w:r>
        <w:rPr>
          <w:b/>
        </w:rPr>
        <w:t xml:space="preserve">Onde aprofundar: </w:t>
      </w:r>
      <w:r>
        <w:t>Cap. 6, seção 6.1 e Apêndice F (caderno iconográfico).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o registro iconográfico pode e não pode provar? (4.4.4 e 6.1).</w:t>
      </w:r>
    </w:p>
    <w:p>
      <w:r>
        <w:rPr>
          <w:b/>
          <w:color w:val="B03A2E"/>
        </w:rPr>
        <w:t xml:space="preserve">Cuidado: </w:t>
      </w:r>
      <w:r>
        <w:t>A conferir: licença das fotografias do Museu Digital de Pipa.</w:t>
      </w:r>
    </w:p>
    <w:p>
      <w:pPr>
        <w:pStyle w:val="Heading2"/>
      </w:pPr>
      <w:r>
        <w:t>Slide 26 · A escola</w:t>
      </w:r>
    </w:p>
    <w:p>
      <w:r>
        <w:rPr>
          <w:color w:val="555555"/>
          <w:sz w:val="20"/>
        </w:rPr>
        <w:t>50 s  ·  ao final: 21:48</w:t>
      </w:r>
    </w:p>
    <w:p>
      <w:r>
        <w:rPr>
          <w:i/>
          <w:color w:val="555555"/>
        </w:rPr>
        <w:t>[Apontar o laboratório, a sala e o alfabeto móvel.]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Na escola, o retrato é outro. O laboratório de informática foi fotografado com os equipamentos desligados, nas salas dos primeiros anos não havia nenhum dispositivo, e as crianças se alfabetizam com um alfabeto móvel feito à mão. Segundo informação preliminar, ainda a confirmar, os computadores foram comprados pela Prefeitura em 2022. Chamamos essa situação de rugosidade tecnológica, com Milton Santos: a forma permanece aguardando o próximo movimento dinâmico da sociedade. O caso de Sibaúma sugere que essa história pode se repetir na rede. E Massey nos impede de ler a distância entre a escola e o polo turístico como atraso: os dois são contemporâneos.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45606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56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Laboratório desligado, salas sem telas e alfabeto móvel feito à mão.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A escola: </w:t>
      </w:r>
      <w:r>
        <w:t>EM Domitila Castelo da Silva: 351 crianças em 15 turmas dos anos iniciais (TIBAU DO SUL, 2026). Computadores comprados em 2022: informação preliminar a confirmar.</w:t>
      </w:r>
    </w:p>
    <w:p>
      <w:pPr>
        <w:pStyle w:val="ListBullet"/>
      </w:pPr>
      <w:r>
        <w:rPr>
          <w:b/>
        </w:rPr>
        <w:t xml:space="preserve">Sistemas de objetos e de ações: </w:t>
      </w:r>
      <w:r>
        <w:t>Os objetos técnicos condicionam as ações possíveis (SANTOS, 2006, p. 39).</w:t>
      </w:r>
    </w:p>
    <w:p>
      <w:pPr>
        <w:pStyle w:val="ListBullet"/>
      </w:pPr>
      <w:r>
        <w:rPr>
          <w:b/>
        </w:rPr>
        <w:t xml:space="preserve">Rugosidade tecnológica: </w:t>
      </w:r>
      <w:r>
        <w:t>Formulação da tese: equipamentos de uma iniciativa anterior à lei chamados a nova função; a forma "permanece aguardando o próximo movimento dinâmico da sociedade" (SANTOS, 2012, p. 74-75).</w:t>
      </w:r>
    </w:p>
    <w:p>
      <w:pPr>
        <w:pStyle w:val="ListBullet"/>
      </w:pPr>
      <w:r>
        <w:rPr>
          <w:b/>
        </w:rPr>
        <w:t xml:space="preserve">Passado técnico da forma: </w:t>
      </w:r>
      <w:r>
        <w:t>"Uma realidade a ser levada em consideração" (SANTOS, 2012, p. 73).</w:t>
      </w:r>
    </w:p>
    <w:p>
      <w:r>
        <w:rPr>
          <w:b/>
        </w:rPr>
        <w:t xml:space="preserve">Autores e obras: </w:t>
      </w:r>
      <w:r>
        <w:t>Santos (2006, p. 39, 92); Santos (2012, p. 73-75).</w:t>
      </w:r>
    </w:p>
    <w:p>
      <w:r>
        <w:rPr>
          <w:b/>
        </w:rPr>
        <w:t xml:space="preserve">Onde aprofundar: </w:t>
      </w:r>
      <w:r>
        <w:t>Cap. 6, seções 6.2 e 6.3.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laboratório desligado prova ausência de uso? (não: depende dos cadernos de uso e das entrevistas, 6.3).</w:t>
      </w:r>
    </w:p>
    <w:p>
      <w:r>
        <w:rPr>
          <w:b/>
          <w:color w:val="B03A2E"/>
        </w:rPr>
        <w:t xml:space="preserve">Cuidado: </w:t>
      </w:r>
      <w:r>
        <w:t>Estimativa: a compra dos computadores em 2022 é informação preliminar.</w:t>
      </w:r>
    </w:p>
    <w:p>
      <w:r>
        <w:br w:type="page"/>
      </w:r>
    </w:p>
    <w:p>
      <w:pPr>
        <w:pStyle w:val="Heading1"/>
      </w:pPr>
      <w:r>
        <w:t>TESE E ENCERRAMENTO</w:t>
      </w:r>
    </w:p>
    <w:p>
      <w:pPr>
        <w:pStyle w:val="Heading2"/>
      </w:pPr>
      <w:r>
        <w:t>Slide 27 · Tese de partida e formulações</w:t>
      </w:r>
    </w:p>
    <w:p>
      <w:r>
        <w:rPr>
          <w:color w:val="555555"/>
          <w:sz w:val="20"/>
        </w:rPr>
        <w:t>75 s  ·  ao final: 23:03</w:t>
      </w:r>
    </w:p>
    <w:p>
      <w:r>
        <w:rPr>
          <w:i/>
          <w:color w:val="555555"/>
        </w:rPr>
        <w:t>[Ler a tese de partida em tom mais lento. É o centro da apresentação.]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Com isso chego à tese de partida. A forma assumida pela PNED no cotidiano escolar resulta da relação entre o que ela prescreve, o que a rede municipal traduz e as condições sob as quais os profissionais precisam atuar. Dessa relação podem surgir adesão, acomodação, adaptação, omissão seletiva, negociação, ressignificação e resistência, e esta última permanece hipótese a examinar nos dados. As condições materiais fazem parte da política; Bowe, Ball e Gold já diziam que as políticas carregam restrições e possibilidades materiais. A tese chega à qualificação com três formulações para confrontar com o campo. Habitar o digital pergunta quem consegue habitar o digital, em que condições e com quais possibilidades de participação. Rugosidade tecnológica nomeia os equipamentos de 2022, anteriores à lei, chamados a cumprir nova função. Vazio material nomeia a exigência curricular com data marcada e meios sem mecanismo federativo obrigatório. As três poderão ser confirmadas, revistas ou abandonadas diante dos dados.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01103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011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A forma da PNED na escola resulta da relação entre o que ela prescreve, o que a rede municipal traduz e as condições sob as quais os profissionais atuam.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Tese de partida: </w:t>
      </w:r>
      <w:r>
        <w:t>Hipótese interpretativa que orienta o estudo, a confrontar com os dados.</w:t>
      </w:r>
    </w:p>
    <w:p>
      <w:pPr>
        <w:pStyle w:val="ListBullet"/>
      </w:pPr>
      <w:r>
        <w:rPr>
          <w:b/>
        </w:rPr>
        <w:t xml:space="preserve">Três formulações: </w:t>
      </w:r>
      <w:r>
        <w:t>Habitar o digital (3.6), rugosidade tecnológica (cap. 6) e vazio material (cap. 5).</w:t>
      </w:r>
    </w:p>
    <w:p>
      <w:r>
        <w:rPr>
          <w:b/>
        </w:rPr>
        <w:t xml:space="preserve">Autores e obras: </w:t>
      </w:r>
      <w:r>
        <w:t>Bowe, Ball e Gold (1992, p. 21); Mainardes (2006); Ball, Maguire e Braun (2016).</w:t>
      </w:r>
    </w:p>
    <w:p>
      <w:r>
        <w:rPr>
          <w:b/>
        </w:rPr>
        <w:t xml:space="preserve">Onde aprofundar: </w:t>
      </w:r>
      <w:r>
        <w:t>Cap. 1, seção 1.5; Cap. 4, seção 4.3.1.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A tese pode ser refutada pelos dados? (sim: as formulações podem ser revistas ou abandonadas).</w:t>
      </w:r>
    </w:p>
    <w:p>
      <w:pPr>
        <w:pStyle w:val="Heading2"/>
      </w:pPr>
      <w:r>
        <w:t>Slide 28 · A questão aberta</w:t>
      </w:r>
    </w:p>
    <w:p>
      <w:r>
        <w:rPr>
          <w:color w:val="555555"/>
          <w:sz w:val="20"/>
        </w:rPr>
        <w:t>37 s  ·  ao final: 23:40</w:t>
      </w:r>
    </w:p>
    <w:p>
      <w:r>
        <w:rPr>
          <w:i/>
          <w:color w:val="555555"/>
        </w:rPr>
        <w:t>[Pausa antes de ler as duas perguntas do cartão amarelo, em tom mais lento.]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Chego à questão que atravessa toda a pesquisa. A política fez da educação digital um direito e deixou os meios na dependência de cada ente federado. A pergunta de fundo, que só as narrativas dos profissionais podem responder, é esta: quando a política não faz chegar o equipamento nem a formação, quem paga, no cotidiano escolar, por esse vazio material e formativo? E o que isso significa para os direitos que a lei prometeu às crianças?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224942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49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Quem paga, no cotidiano escolar, pelo vazio material e formativo?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Vazio formativo: </w:t>
      </w:r>
      <w:r>
        <w:t>Expressão usada na apresentação para nomear a formação tratada pela lei como "ação de promoção" (art. 3º, § 1º, IX e X). Ainda não está definida nos capítulos.</w:t>
      </w:r>
    </w:p>
    <w:p>
      <w:r>
        <w:rPr>
          <w:b/>
        </w:rPr>
        <w:t xml:space="preserve">Autores e obras: </w:t>
      </w:r>
      <w:r>
        <w:t>BRASIL (2023, art. 3º, § 1º); Nunes (2024) e Tussi (2023), sobre formação, na RSL.</w:t>
      </w:r>
    </w:p>
    <w:p>
      <w:r>
        <w:rPr>
          <w:b/>
        </w:rPr>
        <w:t xml:space="preserve">Onde aprofundar: </w:t>
      </w:r>
      <w:r>
        <w:t>Cap. 5, seções 5.5.1 e 5.6; Cap. 2, seção 2.5.2 (o que os profissionais fazem quando a formação não chega).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O que é o "vazio formativo"? (convém definir no cap. 5, ao lado do vazio material).</w:t>
      </w:r>
    </w:p>
    <w:p>
      <w:r>
        <w:rPr>
          <w:b/>
          <w:color w:val="B03A2E"/>
        </w:rPr>
        <w:t xml:space="preserve">Cuidado: </w:t>
      </w:r>
      <w:r>
        <w:t>A definir: "vazio formativo" ainda não está definido nos capítulos.</w:t>
      </w:r>
    </w:p>
    <w:p>
      <w:pPr>
        <w:pStyle w:val="Heading2"/>
      </w:pPr>
      <w:r>
        <w:t>Slide 29 · O que foi feito e o que falta fazer</w:t>
      </w:r>
    </w:p>
    <w:p>
      <w:r>
        <w:rPr>
          <w:color w:val="555555"/>
          <w:sz w:val="20"/>
        </w:rPr>
        <w:t>70 s  ·  ao final: 24:50</w:t>
      </w:r>
    </w:p>
    <w:p>
      <w:r>
        <w:rPr>
          <w:i/>
          <w:color w:val="555555"/>
        </w:rPr>
        <w:t>[Ler o cartão da esquerda e depois o da direita; não ler os números do CEP em voz alta.]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Para encerrar, o que foi feito e o que falta fazer. Integralizei 315 das 330 horas de componentes curriculares e a proficiência em espanhol. O projeto foi aprovado no Comitê de Ética; o texto de qualificação reúne a revisão, os fundamentos, a metodologia, a agenda e a PNED e o território de Pipa e da escola; o registro iconográfico está feito, e os documentos já foram solicitados à direção e à Secretaria. Apresentei a pesquisa no ConWiTE, no ConBAlf e no Colóquio de Políticas Educacionais. Falta submeter a emenda ao Comitê de Ética, com a Secretaria como coparticipante e o projeto atualizado à PNED; realizar o campo em dez semanas, começando pelo técnico da Secretaria; transcrever, analisar e fazer a devolutiva; e escrever o capítulo 7, revisando os capítulos com as contribuições desta banca. Restam ainda dois seminários, a proficiência em inglês, os artigos, o depósito e a defesa.</w:t>
            </w:r>
          </w:p>
        </w:tc>
      </w:tr>
    </w:tbl>
    <w:p>
      <w:pPr>
        <w:spacing w:after="0"/>
      </w:pPr>
    </w:p>
    <w:p>
      <w:pPr>
        <w:pStyle w:val="Heading3"/>
      </w:pPr>
      <w:r>
        <w:t>Estudo dirigido</w:t>
      </w:r>
    </w:p>
    <w:p>
      <w:r>
        <w:rPr>
          <w:b/>
        </w:rPr>
        <w:t>Mapa conceitual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03999" cy="35778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_29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5778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 xml:space="preserve">Ideia central: </w:t>
      </w:r>
      <w:r>
        <w:t>Balanço do percurso, pedido pela orientadora: o que já foi cumprido e o que falta até a defesa.</w:t>
      </w:r>
    </w:p>
    <w:p>
      <w:r>
        <w:rPr>
          <w:b/>
        </w:rPr>
        <w:t>Conceitos</w:t>
      </w:r>
    </w:p>
    <w:p>
      <w:pPr>
        <w:pStyle w:val="ListBullet"/>
      </w:pPr>
      <w:r>
        <w:rPr>
          <w:b/>
        </w:rPr>
        <w:t xml:space="preserve">Feito: </w:t>
      </w:r>
      <w:r>
        <w:t>Componentes curriculares: 315 h de 330 h integralizadas (histórico de 25/08/2026); proficiência em espanhol; aprovação no CEP (Parecer nº 8.038.332; CAAE 91393625.4.0000.5292); texto de qualificação; registro iconográfico; documentos solicitados à direção e à SME; produção em eventos (ConWiTE 2024 e 2026, ConBAlf 2025, V Colóquio de Políticas Educacionais 2025).</w:t>
      </w:r>
    </w:p>
    <w:p>
      <w:pPr>
        <w:pStyle w:val="ListBullet"/>
      </w:pPr>
      <w:r>
        <w:rPr>
          <w:b/>
        </w:rPr>
        <w:t xml:space="preserve">Falta fazer: </w:t>
      </w:r>
      <w:r>
        <w:t>Emenda ao CEP (SME coparticipante e projeto atualizado à PNED); campo em dez semanas; transcrição, análise temática reflexiva e devolutiva; capítulo 7, revisão e considerações finais; Seminário de Formação Doutoral II e Seminário de Pesquisa IV (matriculados); proficiência em inglês; artigos; depósito e defesa.</w:t>
      </w:r>
    </w:p>
    <w:p>
      <w:pPr>
        <w:pStyle w:val="ListBullet"/>
      </w:pPr>
      <w:r>
        <w:rPr>
          <w:b/>
        </w:rPr>
        <w:t xml:space="preserve">Por que a emenda: </w:t>
      </w:r>
      <w:r>
        <w:t>O projeto aprovado no CEP tem o título anterior, sobre a Política de Inovação Educação Conectada (PIEC); a emenda alinha o protocolo ao objeto atual e inclui a SME como coparticipante.</w:t>
      </w:r>
    </w:p>
    <w:p>
      <w:r>
        <w:rPr>
          <w:b/>
        </w:rPr>
        <w:t xml:space="preserve">Autores e obras: </w:t>
      </w:r>
      <w:r>
        <w:t>Relatório de atividades da licença para estudos (23/09/2026); Histórico escolar SIGAA (25/08/2026); Parecer consubstanciado do CEP nº 8.038.332.</w:t>
      </w:r>
    </w:p>
    <w:p>
      <w:r>
        <w:rPr>
          <w:b/>
        </w:rPr>
        <w:t xml:space="preserve">Onde aprofundar: </w:t>
      </w:r>
      <w:r>
        <w:t>Cap. 4, seções 4.4 e 4.5.4 (cronograma).</w:t>
      </w:r>
    </w:p>
    <w:p>
      <w:r>
        <w:rPr>
          <w:b/>
        </w:rPr>
        <w:t>Perguntas de estudo</w:t>
      </w:r>
    </w:p>
    <w:p>
      <w:pPr>
        <w:pStyle w:val="ListBullet"/>
      </w:pPr>
      <w:r>
        <w:rPr>
          <w:i/>
        </w:rPr>
        <w:t>Por que o campo ainda não começou? (depende da emenda ao CEP, com a SME coparticipante).</w:t>
      </w:r>
    </w:p>
    <w:p>
      <w:pPr>
        <w:pStyle w:val="ListBullet"/>
      </w:pPr>
      <w:r>
        <w:rPr>
          <w:i/>
        </w:rPr>
        <w:t>Qual é o prazo? (o histórico registra prazo padrão de conclusão em fev. 2027; confirmar o cronograma com a orientadora).</w:t>
      </w:r>
    </w:p>
    <w:p>
      <w:r>
        <w:rPr>
          <w:b/>
          <w:color w:val="B03A2E"/>
        </w:rPr>
        <w:t xml:space="preserve">Cuidado: </w:t>
      </w:r>
      <w:r>
        <w:t>A conferir: o relatório de 23/09/2026 lista apenas os capítulos 1, 5 e 6 em primeira versão; o slide diz que o texto de qualificação reúne também RSL, fundamentos e metodologia. Ajustar se não for o caso.</w:t>
      </w:r>
    </w:p>
    <w:p>
      <w:pPr>
        <w:pStyle w:val="Heading2"/>
      </w:pPr>
      <w:r>
        <w:t>Slide 30 · Agradecimento</w:t>
      </w:r>
    </w:p>
    <w:p>
      <w:r>
        <w:rPr>
          <w:color w:val="555555"/>
          <w:sz w:val="20"/>
        </w:rPr>
        <w:t>10 s  ·  ao final: 25:00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color="auto" w:fill="EEF0FB"/>
          </w:tcPr>
          <w:p>
            <w:pPr>
              <w:spacing w:line="300" w:lineRule="auto"/>
              <w:jc w:val="both"/>
            </w:pPr>
            <w:r/>
            <w:r>
              <w:rPr>
                <w:sz w:val="24"/>
              </w:rPr>
              <w:t>Agradeço a atenção e fico à disposição para ouvir as considerações da banca, que vão ajudar a tornar esta pesquisa mais consistente.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REFERÊNCIAS</w:t>
      </w:r>
    </w:p>
    <w:p>
      <w:pPr>
        <w:pStyle w:val="Heading2"/>
      </w:pPr>
      <w:r>
        <w:t>Slide 31 · Referências (1/2)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 Deixar à disposição da banca durante a arguição.]</w:t>
      </w:r>
    </w:p>
    <w:p>
      <w:pPr>
        <w:pStyle w:val="Heading3"/>
      </w:pPr>
      <w:r>
        <w:t>Estudo dirigido</w:t>
      </w:r>
    </w:p>
    <w:p>
      <w:r>
        <w:rPr>
          <w:b/>
        </w:rPr>
        <w:t xml:space="preserve">Ideia central: </w:t>
      </w:r>
      <w:r>
        <w:t>Lista ABNT das obras citadas na apresentação.</w:t>
      </w:r>
    </w:p>
    <w:p>
      <w:r>
        <w:rPr>
          <w:b/>
        </w:rPr>
        <w:t xml:space="preserve">Onde aprofundar: </w:t>
      </w:r>
      <w:r>
        <w:t>Listas de referências de cada capítulo.</w:t>
      </w:r>
    </w:p>
    <w:p>
      <w:pPr>
        <w:pStyle w:val="Heading2"/>
      </w:pPr>
      <w:r>
        <w:t>Slide 32 · Referências (2/2)</w:t>
      </w:r>
    </w:p>
    <w:p>
      <w:r>
        <w:rPr>
          <w:color w:val="555555"/>
          <w:sz w:val="20"/>
        </w:rPr>
        <w:t>sem fala</w:t>
      </w:r>
    </w:p>
    <w:p>
      <w:r>
        <w:rPr>
          <w:i/>
          <w:color w:val="555555"/>
        </w:rPr>
        <w:t>[Sem fala.]</w:t>
      </w:r>
    </w:p>
    <w:p>
      <w:r>
        <w:br w:type="page"/>
      </w:r>
    </w:p>
    <w:p>
      <w:pPr>
        <w:pStyle w:val="Heading1"/>
      </w:pPr>
      <w:r>
        <w:t>Se o tempo apertar</w:t>
      </w:r>
    </w:p>
    <w:p>
      <w:pPr>
        <w:pStyle w:val="ListBullet"/>
      </w:pPr>
      <w:r>
        <w:rPr>
          <w:b/>
        </w:rPr>
        <w:t xml:space="preserve">Slide 20 (mapa): </w:t>
      </w:r>
      <w:r>
        <w:t>dizer só a primeira e a terceira frases e apontar o mapa, sem citar os países. Ganho de cerca de 40 s.</w:t>
      </w:r>
    </w:p>
    <w:p>
      <w:pPr>
        <w:pStyle w:val="ListBullet"/>
      </w:pPr>
      <w:r>
        <w:rPr>
          <w:b/>
        </w:rPr>
        <w:t xml:space="preserve">Slide 13 (contexto da prática): </w:t>
      </w:r>
      <w:r>
        <w:t>dizer apenas a primeira frase de cada noção. Ganho de cerca de 30 s.</w:t>
      </w:r>
    </w:p>
    <w:p>
      <w:pPr>
        <w:pStyle w:val="ListBullet"/>
      </w:pPr>
      <w:r>
        <w:rPr>
          <w:b/>
        </w:rPr>
        <w:t xml:space="preserve">Slide 21 (comparação): </w:t>
      </w:r>
      <w:r>
        <w:t>nomear as cinco categorias e ler apenas a pergunta final. Ganho de cerca de 30 s.</w:t>
      </w:r>
    </w:p>
    <w:p>
      <w:pPr>
        <w:pStyle w:val="ListBullet"/>
      </w:pPr>
      <w:r>
        <w:rPr>
          <w:b/>
        </w:rPr>
        <w:t xml:space="preserve">Slide 24 (Tibau do Sul): </w:t>
      </w:r>
      <w:r>
        <w:t>dizer só as localidades e a pergunta final. Ganho de cerca de 20 s.</w:t>
      </w:r>
    </w:p>
    <w:p>
      <w:pPr>
        <w:pStyle w:val="ListBullet"/>
      </w:pPr>
      <w:r>
        <w:rPr>
          <w:b/>
        </w:rPr>
        <w:t xml:space="preserve">Slide 22 (vazio material): </w:t>
      </w:r>
      <w:r>
        <w:t>omitir a frase sobre a definição da lei e começar em "Há o que é inegociável". Ganho de cerca de 15 s.</w:t>
      </w:r>
    </w:p>
    <w:p>
      <w:pPr>
        <w:pStyle w:val="Heading1"/>
      </w:pPr>
      <w:r>
        <w:t>Pontos que a banca pode perguntar</w:t>
      </w:r>
    </w:p>
    <w:p>
      <w:pPr>
        <w:pStyle w:val="ListBullet"/>
      </w:pPr>
      <w:r>
        <w:rPr>
          <w:b/>
        </w:rPr>
        <w:t xml:space="preserve">Proximidade com a rede: </w:t>
      </w:r>
      <w:r>
        <w:t>a pesquisadora trabalha na rede municipal e entrevistará um técnico da mesma administração; os cuidados são o confronto entre fontes, a devolutiva individual e o diário de campo, com a reflexividade pedida por Braun e Clarke.</w:t>
      </w:r>
    </w:p>
    <w:p>
      <w:pPr>
        <w:pStyle w:val="ListBullet"/>
      </w:pPr>
      <w:r>
        <w:rPr>
          <w:b/>
        </w:rPr>
        <w:t xml:space="preserve">Por que só uma escola: </w:t>
      </w:r>
      <w:r>
        <w:t>Pipa é o foco e o caso; a rede entra pelos documentos, pelos dados do Censo Escolar e pelo técnico da Secretaria; as outras escolas não são ouvidas, limite declarado no capítulo 4.</w:t>
      </w:r>
    </w:p>
    <w:p>
      <w:pPr>
        <w:pStyle w:val="ListBullet"/>
      </w:pPr>
      <w:r>
        <w:rPr>
          <w:b/>
        </w:rPr>
        <w:t xml:space="preserve">Por que só o técnico na SME: </w:t>
      </w:r>
      <w:r>
        <w:t>é quem acompanha os programas e as orientações às escolas e informou a existência do plano da rede; a escolha foi feita com a orientadora.</w:t>
      </w:r>
    </w:p>
    <w:p>
      <w:pPr>
        <w:pStyle w:val="ListBullet"/>
      </w:pPr>
      <w:r>
        <w:rPr>
          <w:b/>
        </w:rPr>
        <w:t xml:space="preserve">Ausência de observação de aula: </w:t>
      </w:r>
      <w:r>
        <w:t>delimitação assumida, a mesma de Ball, Maguire e Braun (2016, p. 49); o que for narrado não será tratado como observado.</w:t>
      </w:r>
    </w:p>
    <w:p>
      <w:pPr>
        <w:pStyle w:val="ListBullet"/>
      </w:pPr>
      <w:r>
        <w:rPr>
          <w:b/>
        </w:rPr>
        <w:t xml:space="preserve">Por que não ouvir as crianças: </w:t>
      </w:r>
      <w:r>
        <w:t>o objeto é a encenação pelos profissionais; o que se disser sobre as crianças virá das condições documentadas e das compreensões dos profissionais.</w:t>
      </w:r>
    </w:p>
    <w:p>
      <w:pPr>
        <w:pStyle w:val="ListBullet"/>
      </w:pPr>
      <w:r>
        <w:rPr>
          <w:b/>
        </w:rPr>
        <w:t xml:space="preserve">Por que essas cinco categorias: </w:t>
      </w:r>
      <w:r>
        <w:t>saem das recorrências da comparação entre Europa e Américas (Quadro 12) e funcionam como lentes sensibilizadoras, abertas ao que o campo trouxer.</w:t>
      </w:r>
    </w:p>
    <w:p>
      <w:pPr>
        <w:pStyle w:val="ListBullet"/>
      </w:pPr>
      <w:r>
        <w:rPr>
          <w:b/>
        </w:rPr>
        <w:t xml:space="preserve">Vazio material: </w:t>
      </w:r>
      <w:r>
        <w:t>é proposição a verificar; falta reunir receita e gasto em educação de Tibau do Sul para separar o desenho da lei da capacidade fiscal do município.</w:t>
      </w:r>
    </w:p>
    <w:p>
      <w:pPr>
        <w:pStyle w:val="ListBullet"/>
      </w:pPr>
      <w:r>
        <w:rPr>
          <w:b/>
        </w:rPr>
        <w:t xml:space="preserve">Computadores de 2022: </w:t>
      </w:r>
      <w:r>
        <w:t>informação preliminar, a confirmar no documento de aquisição e nos cadernos de uso do laboratório.</w:t>
      </w:r>
    </w:p>
    <w:p>
      <w:pPr>
        <w:pStyle w:val="ListBullet"/>
      </w:pPr>
      <w:r>
        <w:rPr>
          <w:b/>
        </w:rPr>
        <w:t xml:space="preserve">O que a lei torna obrigatório: </w:t>
      </w:r>
      <w:r>
        <w:t>o componente curricular no ensino fundamental (veto derrubado em 14/12/2023), a educação digital como dever do Estado com conectividade das escolas públicas (LDB, art. 4º, XII) e a implementação dos currículos a partir de 2026 (Res. CNE/CEB nº 2/2025, art. 36). Formação, infraestrutura e recursos ficam como promoção, limites orçamentários e ausência de transferência obrigatória.</w:t>
      </w:r>
    </w:p>
    <w:p>
      <w:pPr>
        <w:pStyle w:val="ListBullet"/>
      </w:pPr>
      <w:r>
        <w:rPr>
          <w:b/>
        </w:rPr>
        <w:t xml:space="preserve">Por que Pipa, se a Secretaria atende o município inteiro: </w:t>
      </w:r>
      <w:r>
        <w:t>Pipa é o foco e o caso; o território municipal e os documentos da SME são o caminho em funil que mostra o que a rede prevê para as diferentes localidades e o que chega a Pipa. As demais escolas não são ouvidas, limite declarado no capítulo 4.</w:t>
      </w:r>
    </w:p>
    <w:p>
      <w:pPr>
        <w:pStyle w:val="Heading1"/>
      </w:pPr>
      <w:r>
        <w:t>Pendências de verificação</w:t>
      </w:r>
    </w:p>
    <w:p>
      <w:pPr>
        <w:pStyle w:val="ListBullet"/>
      </w:pPr>
      <w:r>
        <w:t>Di Felice (2009, p. 20): citação indireta, a conferir no livro impresso.</w:t>
      </w:r>
    </w:p>
    <w:p>
      <w:pPr>
        <w:pStyle w:val="ListBullet"/>
      </w:pPr>
      <w:r>
        <w:t>Foucault (1999, p. 29): conferir a página na edição impressa usada.</w:t>
      </w:r>
    </w:p>
    <w:p>
      <w:pPr>
        <w:pStyle w:val="ListBullet"/>
      </w:pPr>
      <w:r>
        <w:t>Posição da pesquisadora na rede: o projeto diz "trabalha há dezoito anos na rede municipal"; a Introdução diz "atua como profissional técnica de políticas públicas".</w:t>
      </w:r>
    </w:p>
    <w:p>
      <w:pPr>
        <w:pStyle w:val="ListBullet"/>
      </w:pPr>
      <w:r>
        <w:t>Dados de receita e gasto em educação de Tibau do Sul (Siconfi/Finbra): ainda não reunidos (cap. 5).</w:t>
      </w:r>
    </w:p>
    <w:p>
      <w:pPr>
        <w:pStyle w:val="ListBullet"/>
      </w:pPr>
      <w:r>
        <w:t>"Vazio formativo" (slide 28): expressão nova, ainda não definida nos capítulos.</w:t>
      </w:r>
    </w:p>
    <w:p>
      <w:pPr>
        <w:pStyle w:val="ListBullet"/>
      </w:pPr>
      <w:r>
        <w:t>Hall (2006): a Introdução cita a p. 50-51 e a versão anterior, a p. 50; conferir no livro antes de usar.</w:t>
      </w:r>
    </w:p>
    <w:p>
      <w:pPr>
        <w:pStyle w:val="ListBullet"/>
      </w:pPr>
      <w:r>
        <w:t>Tibau do Sul: proporção rural de 2010 (cerca de 40%) a conferir no Censo.</w:t>
      </w:r>
    </w:p>
    <w:p>
      <w:pPr>
        <w:pStyle w:val="ListBullet"/>
      </w:pPr>
      <w:r>
        <w:t>Computadores da escola comprados em 2022: confirmar no documento de aquisição.</w:t>
      </w:r>
    </w:p>
    <w:p>
      <w:pPr>
        <w:pStyle w:val="ListBullet"/>
      </w:pPr>
      <w:r>
        <w:t>Fotografias do Museu Digital de Pipa: confirmar autorização ou licença de uso.</w:t>
      </w:r>
    </w:p>
    <w:sectPr w:rsidR="00FC693F" w:rsidRPr="0006063C" w:rsidSect="00034616">
      <w:pgSz w:w="12240" w:h="15840"/>
      <w:pgMar w:top="1304" w:right="1304" w:bottom="130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349C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349C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349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