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3</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Esta pesquisa investiga a encenação da Política Nacional de Educação Digital (PNED), instituída pela Lei nº 14.533/2023, em seu eixo Educação Digital Escolar, pelos profissionais da educação que atuam nos anos iniciais do Ensino Fundamental, do 1º ao 5º ano, na Escola Municipal Domitila Castelo da Silva, em Pipa, distrito de Tibau do Sul, no litoral sul do Rio Grande do Norte. Interessam-nos os modos pelos quais essa política é interpretada, traduzida e recontextualizada no contexto da prática, bem como o peso que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Uma política não se faz apenas na sala de aula, e o planejamento, a organização do tempo e dos espaços, os registros e as conversas entre colegas também são lugares onde ela ganha forma.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tem razões que vão além da delimitação do campo. Ao chegar a uma escola concreta, uma política de alcance nacional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Conhecemos essa paisagem de perto, pois a pesquisadora convive com Pipa há cerca de duas décadas e trabalha há dezoito anos na rede municipal de Tibau do Sul. Essa proximidade exige vigilância metodológica, no sentido da reflexividade que Braun e Clarke (2019) pedem a quem analisa, e, ao mesmo tempo, é dela que nasce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r w:rsidRPr="002A5A49">
        <w:rPr>
          <w:lang w:val="pt-BR"/>
        </w:rPr>
        <w:t xml:space="preserve">Para ler esse encontro, recorremos à teoria da atuação de Ball, Maguire e Braun (2016), que traduzimos também por encenação, termo com que os estudos brasileiros têm vertido a palavra </w:t>
      </w:r>
      <w:proofErr w:type="spellStart"/>
      <w:r w:rsidRPr="002A5A49">
        <w:rPr>
          <w:i/>
          <w:lang w:val="pt-BR"/>
        </w:rPr>
        <w:t>enactment</w:t>
      </w:r>
      <w:proofErr w:type="spellEnd"/>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ideia de encenação acentua esse caráter produtivo, já que, na escola, a política toma corpo nas falas, nos registros, nos arranjos </w:t>
      </w:r>
      <w:r w:rsidRPr="002A5A49">
        <w:rPr>
          <w:lang w:val="pt-BR"/>
        </w:rPr>
        <w:lastRenderedPageBreak/>
        <w:t>de tempo e espaço e nas práticas de quem a recebe e precisa dar conta dela. É com esse entendimento que formulamos a questão que orienta a investigação.</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Não sabemos de antemão se a PNED será acolhida, adaptada, posta de lado ou contestada pelos profissionais da escola, e pressupor qualquer uma dessas respostas comprometeria a investigação antes de ela começar. O que buscamos conhecer são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uma possibilidade de interesse da pesquisa, que poderá aparecer ou não nos dados. Se aparecer, será lida em relação às condições em que se constitui, às demandas a que responde e aos efeitos que produz no cotidiano escolar. A investigação se volta, assim, para os processos pelos quais a política adquire, no dia a dia da escola, sentidos e formas de existência diversos, o que pede uma pergunta mais ampla que a do seu cumprimento.</w:t>
      </w:r>
    </w:p>
    <w:p w14:paraId="165B9B20" w14:textId="77777777" w:rsidR="00273572" w:rsidRPr="002A5A49" w:rsidRDefault="00000000" w:rsidP="002A5A49">
      <w:pPr>
        <w:spacing w:after="0" w:line="360" w:lineRule="auto"/>
        <w:ind w:firstLine="709"/>
        <w:jc w:val="both"/>
        <w:rPr>
          <w:lang w:val="pt-BR"/>
        </w:rPr>
      </w:pPr>
      <w:r w:rsidRPr="002A5A49">
        <w:rPr>
          <w:lang w:val="pt-BR"/>
        </w:rPr>
        <w:t>Dessa questão decorrem o objetivo geral e os objetivos específicos que organizam o percurso da pesquisa.</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seguem o caminho que a própria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por fim,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portanto, no momento em que esse conjunto de normas deixa o papel e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Por isso, procuramos compreender como uma política pensada em escala nacional encontra uma escola de pequeno porte, situada num território com particularidades sociais, econômicas, culturais e tecnológicas, e o que resulta desse encontro. O caráter inédito da proposta pode ser descrito em três dimensões, que se apoiam umas nas outras.</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primeira dimensão diz respeito ao objeto e ao tempo em que ele é estudado. A pesquisa acompanha a chegada da PNED ao cotidiano escolar no período em que a educação digital e midiática começa a ser incorporada aos currículos de modo mais sistemático. Na </w:t>
      </w:r>
      <w:r w:rsidR="002A5A49" w:rsidRPr="002A5A49">
        <w:rPr>
          <w:lang w:val="pt-BR"/>
        </w:rPr>
        <w:t>R</w:t>
      </w:r>
      <w:r w:rsidRPr="002A5A49">
        <w:rPr>
          <w:lang w:val="pt-BR"/>
        </w:rPr>
        <w:t xml:space="preserve">evisão </w:t>
      </w:r>
      <w:r w:rsidR="002A5A49" w:rsidRPr="002A5A49">
        <w:rPr>
          <w:lang w:val="pt-BR"/>
        </w:rPr>
        <w:t>S</w:t>
      </w:r>
      <w:r w:rsidRPr="002A5A49">
        <w:rPr>
          <w:lang w:val="pt-BR"/>
        </w:rPr>
        <w:t>istemática</w:t>
      </w:r>
      <w:r w:rsidR="002A5A49" w:rsidRPr="002A5A49">
        <w:rPr>
          <w:lang w:val="pt-BR"/>
        </w:rPr>
        <w:t xml:space="preserve"> de Literatura (RSL)</w:t>
      </w:r>
      <w:r w:rsidRPr="002A5A49">
        <w:rPr>
          <w:lang w:val="pt-BR"/>
        </w:rPr>
        <w:t xml:space="preserve"> realizada para esta tese, as buscas em sete bases retornaram 176 registros e resultaram num corpus de nove estudos, publicados entre 2021 e 2024. Nenhum deles se dedica especificamente à PNED, e nenhum investiga a atuação dessa política numa rede municipal de pequeno porte. A novidade da lei, por si, justificaria pouco a investigação. O que dá relevância ao estudo é 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A segunda dimensão está no lugar que o território ocupa na análise. 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Essa leitura interessa à pesquisa porque permite olhar para a escola como um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A terceira dimensão está na articulação entre a teoria da atuação, a discussão sobre culturas profissionais, a atenção à dimensão material da escola e a leitura do território para compreender uma política de educação digital. Os estudos reunidos na </w:t>
      </w:r>
      <w:r w:rsidR="002A5A49" w:rsidRPr="002A5A49">
        <w:rPr>
          <w:lang w:val="pt-BR"/>
        </w:rPr>
        <w:t>RSL</w:t>
      </w:r>
      <w:r w:rsidR="002A5A49" w:rsidRPr="002A5A49">
        <w:rPr>
          <w:lang w:val="pt-BR"/>
        </w:rPr>
        <w:t xml:space="preserve"> </w:t>
      </w:r>
      <w:r w:rsidRPr="002A5A49">
        <w:rPr>
          <w:lang w:val="pt-BR"/>
        </w:rPr>
        <w:t xml:space="preserve">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entendidas como possibilidade produzida diante de exigências, condições, valores, limites ou conflitos específicos, e nunca como comportamento negativo previamente atribuído aos profissionais. É também desse diálogo entre referenciais que nasce a formulação “habitar o digital”, que a tese propõe como possibilidade analítica </w:t>
      </w:r>
      <w:r w:rsidRPr="002A5A49">
        <w:rPr>
          <w:lang w:val="pt-BR"/>
        </w:rPr>
        <w:lastRenderedPageBreak/>
        <w:t>para nomear as maneiras pelas quais as tecnologias digitais atravessam os espaços, as relações e as práticas cotidianas de um território, produzindo possibilidades desiguais de acesso, participação e apropriação. Sua construção, a partir da tradição do habitar e das leituras de Santos e Massey, é apresentada adiante, depois do referencial teórico-metodológico que sustenta a investigação.</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O referencial da pesquisa foi composto para acompanhar a política no caminho que a questão descreve, desde os textos que a instituem até a escola, os profissionais, o território e as crianças. Cada autor responde a uma parte desse caminho. A Abordagem do Ciclo de Políticas</w:t>
      </w:r>
      <w:r w:rsidR="002A5A49" w:rsidRPr="002A5A49">
        <w:rPr>
          <w:lang w:val="pt-BR"/>
        </w:rPr>
        <w:t xml:space="preserve"> (ACP)</w:t>
      </w:r>
      <w:r w:rsidRPr="002A5A49">
        <w:rPr>
          <w:lang w:val="pt-BR"/>
        </w:rPr>
        <w:t xml:space="preserve"> oferece a matriz para compreender a trajetória da PNED; a teoria da atuação, o dispositivo para analisar como a escola a coloca em ação; a discussão sobre culturas profissionais e performatividade, os meios para compreender o que filtra essa atuação e o que a pressiona; e as leituras de território, técnica e lugar, apresentadas na seção 6, a forma de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Essa compreensão permite tratar o território de Pipa e as condições materiais da escola como parte do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As noções reunidas neste referencial funcionarão como lentes de leitura. Elas orientam o olhar sobre os dados sem antecipar o que será encontrado, e poderão ser ajustadas quando os dados pedirem. Isso vale também para a leitura do território, que trata do lugar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r w:rsidRPr="002A5A49">
        <w:rPr>
          <w:lang w:val="pt-BR"/>
        </w:rPr>
        <w:t xml:space="preserve">Para inscrever Pipa na análise, recorremos a Milton Santos e a </w:t>
      </w:r>
      <w:proofErr w:type="spellStart"/>
      <w:r w:rsidRPr="002A5A49">
        <w:rPr>
          <w:lang w:val="pt-BR"/>
        </w:rPr>
        <w:t>Doreen</w:t>
      </w:r>
      <w:proofErr w:type="spellEnd"/>
      <w:r w:rsidRPr="002A5A49">
        <w:rPr>
          <w:lang w:val="pt-BR"/>
        </w:rPr>
        <w:t xml:space="preserve"> Massey. Em </w:t>
      </w:r>
      <w:r w:rsidRPr="002A5A49">
        <w:rPr>
          <w:i/>
          <w:lang w:val="pt-BR"/>
        </w:rPr>
        <w:t>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Espaço e método, o autor reforça essa leitura ao afirmar que “o passado técnico da forma é uma realidade a ser levada em consideração quando se tenta analisar o espaço” (SANTOS, 2012, p. 73).</w:t>
      </w:r>
      <w:r w:rsidRPr="002A5A49">
        <w:rPr>
          <w:i/>
          <w:lang w:val="pt-BR"/>
        </w:rPr>
        <w:t xml:space="preserve"/>
      </w:r>
      <w:r w:rsidRPr="002A5A49">
        <w:rPr>
          <w:lang w:val="pt-BR"/>
        </w:rPr>
        <w:t xml:space="preserve"/>
      </w:r>
    </w:p>
    <w:p w14:paraId="118FDE01" w14:textId="77777777" w:rsidR="00273572" w:rsidRPr="002A5A49" w:rsidRDefault="00000000" w:rsidP="002A5A49">
      <w:pPr>
        <w:spacing w:after="0" w:line="360" w:lineRule="auto"/>
        <w:ind w:firstLine="709"/>
        <w:jc w:val="both"/>
        <w:rPr>
          <w:lang w:val="pt-BR"/>
        </w:rPr>
      </w:pPr>
      <w:r w:rsidRPr="002A5A49">
        <w:rPr>
          <w:lang w:val="pt-BR"/>
        </w:rPr>
        <w:t xml:space="preserve">Essa perspectiva é especialmente produtiva para pensar uma escola situada num território onde convivem temporalidades tecnológicas diferentes. A Escola Municipal Domitila Castelo da Silva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w:t>
      </w:r>
      <w:proofErr w:type="spellStart"/>
      <w:r w:rsidRPr="002A5A49">
        <w:rPr>
          <w:lang w:val="pt-BR"/>
        </w:rPr>
        <w:t>quais</w:t>
      </w:r>
      <w:proofErr w:type="spellEnd"/>
      <w:r w:rsidRPr="002A5A49">
        <w:rPr>
          <w:lang w:val="pt-BR"/>
        </w:rPr>
        <w:t xml:space="preserve">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Articuladas, as contribuições de Santos e de Massey permitem compreender Pipa ao mesmo tempo como território produzido por tempos e relações diferentes e como lugar de encontro de trajetórias diversas. É dessa leitura, somada à discussão sobre o habitar, que nasce a formulação que a tese propõe para nomear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1D17E40C" w14:textId="77777777" w:rsidR="00273572" w:rsidRPr="002A5A49" w:rsidRDefault="00000000" w:rsidP="002A5A49">
      <w:pPr>
        <w:spacing w:after="0" w:line="360" w:lineRule="auto"/>
        <w:ind w:firstLine="709"/>
        <w:jc w:val="both"/>
        <w:rPr>
          <w:lang w:val="pt-BR"/>
        </w:rPr>
      </w:pPr>
      <w:r w:rsidRPr="002A5A49">
        <w:rPr>
          <w:lang w:val="pt-BR"/>
        </w:rPr>
        <w:t>A expressão “habitar o digital” é uma formulação própria desta tese. Ela resulta de um percurso teórico que reúne contribuições anteriores e as articula ao caso estudado, e por isso convém apresentar esse percurso e situar o que cada autor oferece.</w:t>
      </w:r>
    </w:p>
    <w:p w14:paraId="38946E6F" w14:textId="77777777" w:rsidR="00273572" w:rsidRPr="002A5A49" w:rsidRDefault="00000000" w:rsidP="002A5A49">
      <w:pPr>
        <w:spacing w:after="0" w:line="360" w:lineRule="auto"/>
        <w:ind w:firstLine="709"/>
        <w:jc w:val="both"/>
        <w:rPr>
          <w:lang w:val="pt-BR"/>
        </w:rPr>
      </w:pPr>
      <w:r w:rsidRPr="002A5A49">
        <w:rPr>
          <w:lang w:val="pt-BR"/>
        </w:rPr>
        <w:t xml:space="preserve">O ponto de partida está na própria noção de habitar. Em </w:t>
      </w:r>
      <w:r w:rsidRPr="002A5A49">
        <w:rPr>
          <w:i/>
          <w:lang w:val="pt-BR"/>
        </w:rPr>
        <w:t xml:space="preserve">O habitar do ensinar e do aprender </w:t>
      </w:r>
      <w:proofErr w:type="spellStart"/>
      <w:r w:rsidRPr="002A5A49">
        <w:rPr>
          <w:i/>
          <w:lang w:val="pt-BR"/>
        </w:rPr>
        <w:t>OnLIFE</w:t>
      </w:r>
      <w:proofErr w:type="spellEnd"/>
      <w:r w:rsidRPr="002A5A49">
        <w:rPr>
          <w:lang w:val="pt-BR"/>
        </w:rPr>
        <w:t xml:space="preserve">, obra organizada por Schlemmer et al. (2021), o capítulo de abertura, assinado por Schlemmer, Backes e Palagi, lembra que habitar “tem o significado de estar presente” e que o habitar, “além de estar acompanhado do movimento, tem uma natureza relacional” (SCHLEMMER; BACKES; PALAGI, 2021, p. 15). Ele aparece como experiência constituída pelas relações entre sujeitos, ambientes, tecnologias e redes. As autoras chamam de Educação OnLIFE</w:t>
      </w:r>
      <w:proofErr w:type="spellStart"/>
      <w:r w:rsidRPr="002A5A49">
        <w:rPr>
          <w:lang w:val="pt-BR"/>
        </w:rPr>
        <w:t xml:space="preserve"/>
      </w:r>
      <w:proofErr w:type="spellEnd"/>
      <w:r w:rsidRPr="002A5A49">
        <w:rPr>
          <w:lang w:val="pt-BR"/>
        </w:rPr>
        <w:t xml:space="preserve"/>
      </w:r>
      <w:r w:rsidRPr="002A5A49">
        <w:rPr>
          <w:i/>
          <w:lang w:val="pt-BR"/>
        </w:rPr>
        <w:t xml:space="preserve"/>
      </w:r>
      <w:r w:rsidRPr="002A5A49">
        <w:rPr>
          <w:lang w:val="pt-BR"/>
        </w:rPr>
        <w:t xml:space="preserve"> “uma educação transubstanciada e cibricidadã, ligada, conectada (On) na vida (LIFE), a partir de problematizações que emergem do tempo presente, nessa realidade hiperconectada” (SCHLEMMER; BACKES; PALAGI, 2021, p. 24). Essa discussão dialoga com a obra de Massimo Di Felice. Em </w:t>
      </w:r>
      <w:r w:rsidRPr="002A5A49">
        <w:rPr>
          <w:i/>
          <w:lang w:val="pt-BR"/>
        </w:rPr>
        <w:t>Paisagens pós-urbanas</w:t>
      </w:r>
      <w:r w:rsidRPr="002A5A49">
        <w:rPr>
          <w:lang w:val="pt-BR"/>
        </w:rPr>
        <w:t xml:space="preserve">, Di Felice (2009) retoma a tradição filosófica do habitar, que remonta a Heidegger, e pensa o habitar como prática comunicativa, mostrando como as diferentes tecnologias transformam a relação entre o sujeito, os meios de comunicação e o território. Ao tratar da imprensa, por exemplo, afirma que “a invenção da escrita artificial coincide, de fato, com o surgimento de uma espacialidade artificial que marcará sobremaneira a Renascença e inaugurará um novo modo de habitar” (DI FELICE, 2009, p. 102). Com as redes digitais, o autor descreve um habitar atópico, em que a experiência habitativa passa a envolver interfaces, fluxos informativos e relações que não se reduzem ao espaço físico. Esse habitar só se realiza por meio de interações com interfaces e constitui ecossistemas informativos, “ambientes atravessáveis somente mediante formas de interações técnicas” (DI FELICE, 2009, p. 20 apud MARCHESI, 2010), nos quais sujeito e território se relacionam em rede (MARCHESI, 2010).</w:t>
      </w:r>
      <w:proofErr w:type="spellStart"/>
      <w:r w:rsidRPr="002A5A49">
        <w:rPr>
          <w:lang w:val="pt-BR"/>
        </w:rPr>
        <w:t xml:space="preserve"/>
      </w:r>
      <w:proofErr w:type="spellEnd"/>
      <w:r w:rsidRPr="002A5A49">
        <w:rPr>
          <w:lang w:val="pt-BR"/>
        </w:rPr>
        <w:t xml:space="preserve"> </w:t>
      </w:r>
      <w:proofErr w:type="spellStart"/>
      <w:r w:rsidRPr="002A5A49">
        <w:rPr>
          <w:lang w:val="pt-BR"/>
        </w:rPr>
        <w:t>Schlemmer</w:t>
      </w:r>
      <w:proofErr w:type="spellEnd"/>
      <w:r w:rsidRPr="002A5A49">
        <w:rPr>
          <w:lang w:val="pt-BR"/>
        </w:rPr>
        <w:t xml:space="preserve"> </w:t>
      </w:r>
      <w:r w:rsidRPr="002A5A49">
        <w:rPr>
          <w:i/>
          <w:lang w:val="pt-BR"/>
        </w:rPr>
        <w:t>et al.</w:t>
      </w:r>
      <w:r w:rsidRPr="002A5A49">
        <w:rPr>
          <w:lang w:val="pt-BR"/>
        </w:rPr>
        <w:t xml:space="preserve"> (2021) levam essa discussão para o campo educacional ao pensar o ensinar e o aprender numa realidade marcada pela </w:t>
      </w:r>
      <w:proofErr w:type="spellStart"/>
      <w:r w:rsidRPr="002A5A49">
        <w:rPr>
          <w:lang w:val="pt-BR"/>
        </w:rPr>
        <w:t>digitalidade</w:t>
      </w:r>
      <w:proofErr w:type="spellEnd"/>
      <w:r w:rsidRPr="002A5A49">
        <w:rPr>
          <w:lang w:val="pt-BR"/>
        </w:rPr>
        <w:t xml:space="preserve"> e pela conectividade.</w:t>
      </w:r>
    </w:p>
    <w:p w14:paraId="315D7C81" w14:textId="77777777" w:rsidR="00273572" w:rsidRPr="002A5A49" w:rsidRDefault="00000000" w:rsidP="002A5A49">
      <w:pPr>
        <w:spacing w:after="0" w:line="360" w:lineRule="auto"/>
        <w:ind w:firstLine="709"/>
        <w:jc w:val="both"/>
        <w:rPr>
          <w:lang w:val="pt-BR"/>
        </w:rPr>
      </w:pPr>
      <w:r w:rsidRPr="002A5A49">
        <w:rPr>
          <w:lang w:val="pt-BR"/>
        </w:rPr>
        <w:t>É a partir desse diálogo, e das leituras de território apresentadas na seção anterior, que formulamos a expressão.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Duas passagens ajudam a precisar a formulação. Santos (2006, p. 163) observa que, com a difusão do meio técnico-científico-informacional, “distinguem-se zonas servidas pelos meios de conhecimento e áreas desprovidas dessa vantagem”, e em Pipa essa distinção atravessa o próprio distrito. Em texto anterior, o autor nomeia a questão que interessa a esta pesquisa,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A escola e o polo turístico são contemporâneos, e o que os separa são relações que a análise precisa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A primeira diz respeito ao território e indaga como se habita o digital quando a tecnologia está intensamente presente em certos circuitos do distrito e pouco presente nos espaços destinados à educação. A segunda diz respeito à escola e indaga que formas de participação, uso, apropriação e experiência digital se tornam possíveis, ou permanecem restritas, para as crianças nessas condições. A formulação será confrontada com os dados e poderá ser aprofundada, revista ou tensionada ao </w:t>
      </w:r>
      <w:r w:rsidRPr="002A5A49">
        <w:rPr>
          <w:lang w:val="pt-BR"/>
        </w:rPr>
        <w:lastRenderedPageBreak/>
        <w:t>longo da investigação. A segunda pergunta leva diretamente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A discussão sobre os direitos das crianças no ambiente digital é um desdobramento da análise e responde ao objetivo específico (d). As crianças estão no fim do caminho que a política percorre, e é em nome delas que a PNED se justifica. Esta pesquisa ouve os profissionais da educação, e por isso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que constituem uma organização analítica própria da tese.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 Para chegar a essa compreensão, a pesquisa adota o percurso metodológico apresentado a seguir.</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e não constitui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O trabalho de campo começará somente depois da aprovação do projeto pelo Comitê de Ética em Pesquisa,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Os dados serão construídos em cinco movimentos articulados. Cada movimento acrescenta uma fonte ao estudo, e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O primeiro movimento reúne os documentos que acompanham a PNED em sua chegada à escola.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w:t>
      </w:r>
      <w:r w:rsidR="002A5A49" w:rsidRPr="002A5A49">
        <w:rPr>
          <w:lang w:val="pt-BR"/>
        </w:rPr>
        <w:t xml:space="preserve"> (PPP)</w:t>
      </w:r>
      <w:r w:rsidRPr="002A5A49">
        <w:rPr>
          <w:lang w:val="pt-BR"/>
        </w:rPr>
        <w:t>,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O segundo movimento incorpora o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r w:rsidRPr="002A5A49">
        <w:rPr>
          <w:lang w:val="pt-BR"/>
        </w:rPr>
        <w:t xml:space="preserve">O terceiro movimento é um questionário presencial, respondido em formulário digital, com função descritiva e </w:t>
      </w:r>
      <w:proofErr w:type="spellStart"/>
      <w:r w:rsidRPr="002A5A49">
        <w:rPr>
          <w:lang w:val="pt-BR"/>
        </w:rPr>
        <w:t>contextualizadora</w:t>
      </w:r>
      <w:proofErr w:type="spellEnd"/>
      <w:r w:rsidRPr="002A5A49">
        <w:rPr>
          <w:lang w:val="pt-BR"/>
        </w:rPr>
        <w:t>.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O questionário não se presta a generalizações estatísticas. Sua função é caracterizar o grupo e oferecer elementos que ajudem a compreender as entrevistas.</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O quarto movimento consiste em entrevistas individuais semiestruturadas, com duração aproximada de 60 a 90 minutos, realizadas em espaço reservado, gravadas com o consentimento dos participantes e depois transcritas. Com os profissionais da escola, as entrevistas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O quinto movimento reúne as fontes. Os relatos orais e as respostas abertas do questionário serão examinados pela análise temática reflexiva (BRAUN; CLARKE, 2006, 2019),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A palavra “resistências” está no título da tese por uma escolha deliberada. Ela expressa uma preocupação teórica da pesquisa, a de compreender o que acontece quando os profissionais encontram exigências normativas que precisam ser traduzidas dentro de determinadas condições de trabalho. Essa escolha pede cuidado, porque a resistência será tratada como uma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 Essa abertura permite manter a resistência como problema relevante para a tese sem transformá-la numa conclusão antecipada.</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Vigiar e punir,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por isso pode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A pesquisa parte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formas de adesão, acomodação, adaptação, omissão seletiva, negociação, ressignificação e resistência, e a resistência, embora seja uma possibilidade analítica particularmente importante, permanece como possibilidade a ser verificada.</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Por isso, perguntar se a PNED foi implementada diz pouco sobre o que se passa em Pipa. A pergunta que interessa é mais incômoda e diz respeito ao que acontece com uma política de educação digital quando ela encontra uma escola com uma história, condições materiais e culturas profissionais determinadas, inserida num território específico. É nesse encontro que a política adquire suas formas, e é nele também que se torna possível perguntar quem consegue </w:t>
      </w:r>
      <w:r w:rsidR="002A5A49" w:rsidRPr="002A5A49">
        <w:rPr>
          <w:lang w:val="pt-BR"/>
        </w:rPr>
        <w:t>“</w:t>
      </w:r>
      <w:r w:rsidRPr="002A5A49">
        <w:rPr>
          <w:lang w:val="pt-BR"/>
        </w:rPr>
        <w:t>habitar o digital</w:t>
      </w:r>
      <w:r w:rsidR="002A5A49" w:rsidRPr="002A5A49">
        <w:rPr>
          <w:lang w:val="pt-BR"/>
        </w:rPr>
        <w:t>”</w:t>
      </w:r>
      <w:r w:rsidRPr="002A5A49">
        <w:rPr>
          <w:lang w:val="pt-BR"/>
        </w:rPr>
        <w:t>,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r w:rsidRPr="002A5A49">
        <w:rPr>
          <w:lang w:val="pt-BR"/>
        </w:rPr>
        <w:t xml:space="preserve">A contribuição conceitual própria da tese está na formulação “habitar o digital”, construída no diálogo entre a tradição do habitar, as discussões contemporâneas sobre </w:t>
      </w:r>
      <w:proofErr w:type="spellStart"/>
      <w:r w:rsidRPr="002A5A49">
        <w:rPr>
          <w:lang w:val="pt-BR"/>
        </w:rPr>
        <w:t>digitalidade</w:t>
      </w:r>
      <w:proofErr w:type="spellEnd"/>
      <w:r w:rsidRPr="002A5A49">
        <w:rPr>
          <w:lang w:val="pt-BR"/>
        </w:rPr>
        <w:t xml:space="preserve"> e conectividade e as leituras de território, técnica, espaço e lugar de Santos e Massey. Essa formulação será confrontada com os dados empíricos e poderá ser aprofundada, revista ou tensionada ao longo da investigação, de modo que o que se aprender em Pipa possa voltar à teoria e ajudar a compreender outras escolas onde a mesma política chega em condições igualmente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both"/>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both"/>
        <w:rPr>
          <w:lang w:val="pt-BR"/>
        </w:rPr>
      </w:pPr>
    </w:p>
    <w:p w14:paraId="5A30B65D" w14:textId="77777777" w:rsidR="00273572" w:rsidRDefault="00000000" w:rsidP="002A5A49">
      <w:pPr>
        <w:spacing w:after="0" w:line="240" w:lineRule="auto"/>
        <w:jc w:val="both"/>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both"/>
        <w:rPr>
          <w:lang w:val="pt-BR"/>
        </w:rPr>
      </w:pPr>
    </w:p>
    <w:p w14:paraId="19D0EAD9" w14:textId="77777777" w:rsidR="00273572" w:rsidRDefault="00000000" w:rsidP="002A5A49">
      <w:pPr>
        <w:spacing w:after="0" w:line="240" w:lineRule="auto"/>
        <w:jc w:val="both"/>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both"/>
        <w:rPr>
          <w:lang w:val="pt-BR"/>
        </w:rPr>
      </w:pPr>
    </w:p>
    <w:p w14:paraId="7ECE513B" w14:textId="77777777" w:rsidR="00273572" w:rsidRDefault="00000000" w:rsidP="002A5A49">
      <w:pPr>
        <w:spacing w:after="0" w:line="240" w:lineRule="auto"/>
        <w:jc w:val="both"/>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both"/>
        <w:rPr>
          <w:lang w:val="pt-BR"/>
        </w:rPr>
      </w:pPr>
    </w:p>
    <w:p w14:paraId="4C0F52CC" w14:textId="77777777" w:rsidR="00273572" w:rsidRDefault="00000000" w:rsidP="002A5A49">
      <w:pPr>
        <w:spacing w:after="0" w:line="240" w:lineRule="auto"/>
        <w:jc w:val="both"/>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both"/>
        <w:rPr>
          <w:lang w:val="pt-BR"/>
        </w:rPr>
      </w:pPr>
    </w:p>
    <w:p w14:paraId="02E83A73" w14:textId="77777777" w:rsidR="00273572" w:rsidRDefault="00000000" w:rsidP="002A5A49">
      <w:pPr>
        <w:spacing w:after="0" w:line="240" w:lineRule="auto"/>
        <w:jc w:val="both"/>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both"/>
        <w:rPr>
          <w:lang w:val="pt-BR"/>
        </w:rPr>
      </w:pPr>
    </w:p>
    <w:p w14:paraId="2216F531" w14:textId="77777777" w:rsidR="00273572" w:rsidRPr="002A5A49" w:rsidRDefault="00000000" w:rsidP="002A5A49">
      <w:pPr>
        <w:spacing w:after="0" w:line="240" w:lineRule="auto"/>
        <w:jc w:val="both"/>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both"/>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both"/>
        <w:rPr>
          <w:lang w:val="pt-BR"/>
        </w:rPr>
      </w:pPr>
    </w:p>
    <w:p w14:paraId="70080483" w14:textId="77777777" w:rsidR="00273572" w:rsidRDefault="00000000" w:rsidP="002A5A49">
      <w:pPr>
        <w:spacing w:after="0" w:line="240" w:lineRule="auto"/>
        <w:jc w:val="both"/>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both"/>
        <w:rPr>
          <w:lang w:val="pt-BR"/>
        </w:rPr>
      </w:pPr>
    </w:p>
    <w:p w14:paraId="7EA21185" w14:textId="77777777" w:rsidR="00273572" w:rsidRDefault="00000000" w:rsidP="002A5A49">
      <w:pPr>
        <w:spacing w:after="0" w:line="240" w:lineRule="auto"/>
        <w:jc w:val="both"/>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both"/>
        <w:rPr>
          <w:lang w:val="pt-BR"/>
        </w:rPr>
      </w:pPr>
    </w:p>
    <w:p w14:paraId="2A8705F1"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both"/>
        <w:rPr>
          <w:lang w:val="pt-BR"/>
        </w:rPr>
      </w:pPr>
    </w:p>
    <w:p w14:paraId="18FBB450" w14:textId="77777777" w:rsidR="00273572" w:rsidRDefault="00000000" w:rsidP="002A5A49">
      <w:pPr>
        <w:spacing w:after="0" w:line="240" w:lineRule="auto"/>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both"/>
        <w:rPr>
          <w:lang w:val="pt-BR"/>
        </w:rPr>
      </w:pPr>
    </w:p>
    <w:p w14:paraId="0B4118AA" w14:textId="77777777" w:rsidR="00273572" w:rsidRDefault="00000000" w:rsidP="002A5A49">
      <w:pPr>
        <w:spacing w:after="0" w:line="240" w:lineRule="auto"/>
        <w:jc w:val="both"/>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both"/>
        <w:rPr>
          <w:lang w:val="pt-BR"/>
        </w:rPr>
      </w:pPr>
    </w:p>
    <w:p w14:paraId="5B5BDCB1" w14:textId="77777777" w:rsidR="00273572" w:rsidRDefault="00000000" w:rsidP="002A5A49">
      <w:pPr>
        <w:spacing w:after="0" w:line="240" w:lineRule="auto"/>
        <w:jc w:val="both"/>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both"/>
        <w:rPr>
          <w:lang w:val="pt-BR"/>
        </w:rPr>
      </w:pPr>
    </w:p>
    <w:p w14:paraId="6E2E4F36" w14:textId="77777777" w:rsidR="00273572" w:rsidRDefault="00000000" w:rsidP="002A5A49">
      <w:pPr>
        <w:spacing w:after="0" w:line="240" w:lineRule="auto"/>
        <w:jc w:val="both"/>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727C3944"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proofErr w:type="spellStart"/>
      <w:proofErr w:type="spellEnd"/>
      <w:r w:rsidRPr="002A5A49">
        <w:rPr>
          <w:lang w:val="pt-BR"/>
        </w:rPr>
        <w:t xml:space="preserve">MARCHESI, Mariana. Ambiente, mídia e técnica: um passeio pelas paisagens pós-urbanas de Massimo Di Felice. </w:t>
      </w:r>
      <w:r w:rsidRPr="002A5A49">
        <w:rPr>
          <w:lang w:val="pt-BR"/>
          <w:b/>
        </w:rPr>
        <w:t xml:space="preserve">Rumores</w:t>
      </w:r>
      <w:r w:rsidRPr="002A5A49">
        <w:rPr>
          <w:lang w:val="pt-BR"/>
        </w:rPr>
        <w:t xml:space="preserve">, São Paulo, n. 8, [2010]. Resenha de: DI FELICE, Massimo. Paisagens pós-urbanas: o fim da experiência urbana e as formas comunicativas do habitar. São Paulo: Annablume, 2009.</w:t>
      </w:r>
    </w:p>
    <w:p w14:paraId="3350B200" w14:textId="77777777" w:rsidR="002A5A49" w:rsidRPr="002A5A49" w:rsidRDefault="002A5A49" w:rsidP="002A5A49">
      <w:pPr>
        <w:spacing w:after="0" w:line="240" w:lineRule="auto"/>
        <w:jc w:val="both"/>
        <w:rPr>
          <w:lang w:val="pt-BR"/>
        </w:rPr>
      </w:pPr>
    </w:p>
    <w:p w14:paraId="01A1AD74" w14:textId="77777777" w:rsidR="00273572" w:rsidRDefault="00000000" w:rsidP="002A5A49">
      <w:pPr>
        <w:spacing w:after="0" w:line="240" w:lineRule="auto"/>
        <w:jc w:val="both"/>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both"/>
        <w:rPr>
          <w:lang w:val="pt-BR"/>
        </w:rPr>
      </w:pPr>
    </w:p>
    <w:p w14:paraId="3287DEBC" w14:textId="77777777" w:rsidR="00273572" w:rsidRDefault="00000000" w:rsidP="002A5A49">
      <w:pPr>
        <w:spacing w:after="0" w:line="240" w:lineRule="auto"/>
        <w:jc w:val="both"/>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both"/>
        <w:rPr>
          <w:lang w:val="pt-BR"/>
        </w:rPr>
      </w:pPr>
    </w:p>
    <w:p w14:paraId="2178907E" w14:textId="77777777" w:rsidR="00273572" w:rsidRDefault="00000000" w:rsidP="002A5A49">
      <w:pPr>
        <w:spacing w:after="0" w:line="240" w:lineRule="auto"/>
        <w:jc w:val="both"/>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both"/>
        <w:rPr>
          <w:lang w:val="pt-BR"/>
        </w:rPr>
      </w:pPr>
    </w:p>
    <w:p w14:paraId="294BE79C" w14:textId="77777777" w:rsidR="00273572" w:rsidRDefault="00000000" w:rsidP="002A5A49">
      <w:pPr>
        <w:spacing w:after="0" w:line="240" w:lineRule="auto"/>
        <w:jc w:val="both"/>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both"/>
        <w:rPr>
          <w:lang w:val="pt-BR"/>
        </w:rPr>
      </w:pPr>
    </w:p>
    <w:p w14:paraId="2715D3AE" w14:textId="77777777" w:rsidR="00273572" w:rsidRDefault="00000000" w:rsidP="002A5A49">
      <w:pPr>
        <w:spacing w:after="0" w:line="240" w:lineRule="auto"/>
        <w:jc w:val="both"/>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both"/>
        <w:rPr>
          <w:lang w:val="pt-BR"/>
        </w:rPr>
      </w:pPr>
    </w:p>
    <w:p w14:paraId="0B669447" w14:textId="77777777" w:rsidR="00273572" w:rsidRDefault="00000000" w:rsidP="002A5A49">
      <w:pPr>
        <w:spacing w:after="0" w:line="240" w:lineRule="auto"/>
        <w:jc w:val="both"/>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both"/>
        <w:rPr>
          <w:lang w:val="pt-BR"/>
        </w:rPr>
      </w:pPr>
    </w:p>
    <w:p w14:paraId="79532801" w14:textId="77777777" w:rsidR="00273572" w:rsidRPr="002A5A49" w:rsidRDefault="00000000" w:rsidP="002A5A49">
      <w:pPr>
        <w:spacing w:after="0" w:line="240" w:lineRule="auto"/>
        <w:jc w:val="both"/>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