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ROTEIRO DE REVISÃO DA TESE: DA SECRETARIA À ESCOLA</w:t>
      </w:r>
    </w:p>
    <w:p>
      <w:pPr>
        <w:jc w:val="center"/>
      </w:pPr>
      <w:r>
        <w:rPr>
          <w:i/>
        </w:rPr>
        <w:t>Pesquisa sobre Tibau do Sul, nova arquitetura e plano de correção da proposta, dos capítulos e da apresentação</w:t>
      </w:r>
    </w:p>
    <w:p>
      <w:pPr>
        <w:pStyle w:val="Heading1"/>
      </w:pPr>
      <w:r>
        <w:t>1. A mudança de rota</w:t>
      </w:r>
    </w:p>
    <w:p>
      <w:pPr>
        <w:jc w:val="both"/>
      </w:pPr>
      <w:r>
        <w:rPr>
          <w:i w:val="0"/>
        </w:rPr>
        <w:t>A orientadora questionou o recorte atual: a tese tem a visão de uma escola e de Pipa, e uma tese de doutorado precisa partir da Secretaria Municipal de Educação para chegar à escola. Tibau do Sul é um município diverso e subdividido, com áreas urbanas e rurais, povoados com realidades muito distintas entre si e uma comunidade quilombola. O técnico da SME informou que existe um plano elaborado para a rede como um todo.</w:t>
      </w:r>
    </w:p>
    <w:p>
      <w:pPr>
        <w:jc w:val="both"/>
      </w:pPr>
      <w:r>
        <w:rPr>
          <w:i w:val="0"/>
        </w:rPr>
        <w:t>Daí a nova pergunta de fundo: como a SME recebe a PNED, que documentos, formações e orientações produz para o município e se esses materiais consideram a diversidade de cada contexto, até chegar à escola de Pipa. Com isso, a participação do técnico da SME deixa a posição complementar e passa a ocupar o primeiro movimento da análise. A pesquisadora já conversou com ele sobre a documentação, a formação e as orientações municipais.</w:t>
      </w:r>
    </w:p>
    <w:p>
      <w:pPr>
        <w:jc w:val="both"/>
      </w:pPr>
      <w:r>
        <w:rPr>
          <w:i w:val="0"/>
        </w:rPr>
        <w:t>Em termos da própria tese, a mudança desloca o centro do contexto da prática: ele passa a começar na rede municipal, onde a política nacional é recebida e retraduzida, e a escola de Pipa vira o ponto em que essa tradução municipal encontra a sala de aula.</w:t>
      </w:r>
    </w:p>
    <w:p>
      <w:pPr>
        <w:pStyle w:val="Heading1"/>
      </w:pPr>
      <w:r>
        <w:t>2. O que a pesquisa pública encontrou sobre Tibau do Sul</w:t>
      </w:r>
    </w:p>
    <w:p>
      <w:pPr>
        <w:jc w:val="both"/>
      </w:pPr>
      <w:r>
        <w:rPr>
          <w:i w:val="0"/>
        </w:rPr>
        <w:t>O acesso direto aos sites do IBGE, do INEP, da Fundação Palmares, da Prefeitura e dos repositórios da UFRN estava bloqueado neste ambiente. As informações abaixo vêm de buscas na web, com as fontes indicadas. Tudo o que for usado na tese precisa ser conferido na fonte oficial.</w:t>
      </w:r>
    </w:p>
    <w:p>
      <w:pPr>
        <w:pStyle w:val="Heading2"/>
      </w:pPr>
      <w:r>
        <w:t>2.1 Encontrado, com fonte</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Informação</w:t>
            </w:r>
          </w:p>
        </w:tc>
        <w:tc>
          <w:tcPr>
            <w:tcW w:type="dxa" w:w="3135"/>
            <w:shd w:val="clear" w:color="auto" w:fill="FFCE32"/>
          </w:tcPr>
          <w:p>
            <w:r/>
            <w:r>
              <w:rPr>
                <w:b/>
              </w:rPr>
              <w:t>Fonte encontrada</w:t>
            </w:r>
          </w:p>
        </w:tc>
        <w:tc>
          <w:tcPr>
            <w:tcW w:type="dxa" w:w="3135"/>
            <w:shd w:val="clear" w:color="auto" w:fill="FFCE32"/>
          </w:tcPr>
          <w:p>
            <w:r/>
            <w:r>
              <w:rPr>
                <w:b/>
              </w:rPr>
              <w:t>Situação</w:t>
            </w:r>
          </w:p>
        </w:tc>
      </w:tr>
      <w:tr>
        <w:tc>
          <w:tcPr>
            <w:tcW w:type="dxa" w:w="3135"/>
          </w:tcPr>
          <w:p>
            <w:r>
              <w:rPr>
                <w:sz w:val="20"/>
              </w:rPr>
              <w:t>População de 16.929 habitantes no Censo 2022; área de cerca de 102,7 km²; densidade de 164,87 hab/km². Outra fonte dá 101,822 km²; a densidade informada só fecha com 102,7 km².</w:t>
            </w:r>
          </w:p>
        </w:tc>
        <w:tc>
          <w:tcPr>
            <w:tcW w:type="dxa" w:w="3135"/>
          </w:tcPr>
          <w:p>
            <w:r>
              <w:rPr>
                <w:sz w:val="20"/>
              </w:rPr>
              <w:t>IBGE Cidades (via busca); cepsbrasil.com.br; cidadesdomeubrasil.com.br</w:t>
            </w:r>
          </w:p>
        </w:tc>
        <w:tc>
          <w:tcPr>
            <w:tcW w:type="dxa" w:w="3135"/>
          </w:tcPr>
          <w:p>
            <w:r>
              <w:rPr>
                <w:sz w:val="20"/>
              </w:rPr>
              <w:t>Conferir a área no IBGE Cidades</w:t>
            </w:r>
          </w:p>
        </w:tc>
      </w:tr>
      <w:tr>
        <w:tc>
          <w:tcPr>
            <w:tcW w:type="dxa" w:w="3135"/>
          </w:tcPr>
          <w:p>
            <w:r>
              <w:rPr>
                <w:sz w:val="20"/>
              </w:rPr>
              <w:t>O município tem um único distrito administrativo, a sede. Criado como distrito de Goianinha em 1953 (Lei estadual nº 960, de 30 de novembro de 1953), renomeado Tibau do Sul pela Lei estadual nº 2.315, de 20 de dezembro de 1958, e emancipado pela Lei estadual nº 2.863, de 3 de abril de 1963. O "do Sul" distingue o município de Tibau, no litoral norte.</w:t>
            </w:r>
          </w:p>
        </w:tc>
        <w:tc>
          <w:tcPr>
            <w:tcW w:type="dxa" w:w="3135"/>
          </w:tcPr>
          <w:p>
            <w:r>
              <w:rPr>
                <w:sz w:val="20"/>
              </w:rPr>
              <w:t>IBGE, Divisão Territorial Brasileira e histórico do município (via busca)</w:t>
            </w:r>
          </w:p>
        </w:tc>
        <w:tc>
          <w:tcPr>
            <w:tcW w:type="dxa" w:w="3135"/>
          </w:tcPr>
          <w:p>
            <w:r>
              <w:rPr>
                <w:sz w:val="20"/>
              </w:rPr>
              <w:t>Conferir no IBGE</w:t>
            </w:r>
          </w:p>
        </w:tc>
      </w:tr>
      <w:tr>
        <w:tc>
          <w:tcPr>
            <w:tcW w:type="dxa" w:w="3135"/>
          </w:tcPr>
          <w:p>
            <w:r>
              <w:rPr>
                <w:sz w:val="20"/>
              </w:rPr>
              <w:t>Três núcleos costeiros citados nas fontes: a sede (Tibau do Sul), Pipa e Sibaúma.</w:t>
            </w:r>
          </w:p>
        </w:tc>
        <w:tc>
          <w:tcPr>
            <w:tcW w:type="dxa" w:w="3135"/>
          </w:tcPr>
          <w:p>
            <w:r>
              <w:rPr>
                <w:sz w:val="20"/>
              </w:rPr>
              <w:t>Wikipédia e Wikivoyage (via busca)</w:t>
            </w:r>
          </w:p>
        </w:tc>
        <w:tc>
          <w:tcPr>
            <w:tcW w:type="dxa" w:w="3135"/>
          </w:tcPr>
          <w:p>
            <w:r>
              <w:rPr>
                <w:sz w:val="20"/>
              </w:rPr>
              <w:t>Fonte fraca; confirmar com IBGE e SME</w:t>
            </w:r>
          </w:p>
        </w:tc>
      </w:tr>
      <w:tr>
        <w:tc>
          <w:tcPr>
            <w:tcW w:type="dxa" w:w="3135"/>
          </w:tcPr>
          <w:p>
            <w:r>
              <w:rPr>
                <w:sz w:val="20"/>
              </w:rPr>
              <w:t>Sibaúma é certificada pela Fundação Cultural Palmares como comunidade remanescente de quilombo, em 2005 (uma fonte dá a data de 8 de junho de 2005). A pesquisadora indica a Portaria nº 26/2005 e o Processo nº 01420.000658/2004-75.</w:t>
            </w:r>
          </w:p>
        </w:tc>
        <w:tc>
          <w:tcPr>
            <w:tcW w:type="dxa" w:w="3135"/>
          </w:tcPr>
          <w:p>
            <w:r>
              <w:rPr>
                <w:sz w:val="20"/>
              </w:rPr>
              <w:t>MPF/RN; artigos acadêmicos (via busca); número da portaria informado pela pesquisadora</w:t>
            </w:r>
          </w:p>
        </w:tc>
        <w:tc>
          <w:tcPr>
            <w:tcW w:type="dxa" w:w="3135"/>
          </w:tcPr>
          <w:p>
            <w:r>
              <w:rPr>
                <w:sz w:val="20"/>
              </w:rPr>
              <w:t>O número da portaria não apareceu nas buscas; conferir no DOU e na lista da Palmares</w:t>
            </w:r>
          </w:p>
        </w:tc>
      </w:tr>
      <w:tr>
        <w:tc>
          <w:tcPr>
            <w:tcW w:type="dxa" w:w="3135"/>
          </w:tcPr>
          <w:p>
            <w:r>
              <w:rPr>
                <w:sz w:val="20"/>
              </w:rPr>
              <w:t>Em Sibaúma fica a Escola Municipal Padre Armando de Paiva, com educação infantil, ensino fundamental e EJA, descrita em contexto afrodescendente.</w:t>
            </w:r>
          </w:p>
        </w:tc>
        <w:tc>
          <w:tcPr>
            <w:tcW w:type="dxa" w:w="3135"/>
          </w:tcPr>
          <w:p>
            <w:r>
              <w:rPr>
                <w:sz w:val="20"/>
              </w:rPr>
              <w:t>escol.as; registro da dissertação na UFRN (via busca)</w:t>
            </w:r>
          </w:p>
        </w:tc>
        <w:tc>
          <w:tcPr>
            <w:tcW w:type="dxa" w:w="3135"/>
          </w:tcPr>
          <w:p>
            <w:r>
              <w:rPr>
                <w:sz w:val="20"/>
              </w:rPr>
              <w:t>Confirmar no Censo Escolar</w:t>
            </w:r>
          </w:p>
        </w:tc>
      </w:tr>
      <w:tr>
        <w:tc>
          <w:tcPr>
            <w:tcW w:type="dxa" w:w="3135"/>
          </w:tcPr>
          <w:p>
            <w:r>
              <w:rPr>
                <w:sz w:val="20"/>
              </w:rPr>
              <w:t>Há uma dissertação de 2012 do PPGEd/UFRN sobre essa escola: "A educação escolar na comunidade negra de Sibaúma: a trajetória educacional da Escola Municipal Armando de Paiva".</w:t>
            </w:r>
          </w:p>
        </w:tc>
        <w:tc>
          <w:tcPr>
            <w:tcW w:type="dxa" w:w="3135"/>
          </w:tcPr>
          <w:p>
            <w:r>
              <w:rPr>
                <w:sz w:val="20"/>
              </w:rPr>
              <w:t>Repositório da UFRN e BDTD (via busca)</w:t>
            </w:r>
          </w:p>
        </w:tc>
        <w:tc>
          <w:tcPr>
            <w:tcW w:type="dxa" w:w="3135"/>
          </w:tcPr>
          <w:p>
            <w:r>
              <w:rPr>
                <w:sz w:val="20"/>
              </w:rPr>
              <w:t>Autoria e orientação não apareceram nas buscas; ver repositorio.ufrn.br/jspui/handle/123456789/14505</w:t>
            </w:r>
          </w:p>
        </w:tc>
      </w:tr>
      <w:tr>
        <w:tc>
          <w:tcPr>
            <w:tcW w:type="dxa" w:w="3135"/>
          </w:tcPr>
          <w:p>
            <w:r>
              <w:rPr>
                <w:sz w:val="20"/>
              </w:rPr>
              <w:t>Existe uma Escola Municipal de Piau, na localidade de Piau, classificada como zona rural.</w:t>
            </w:r>
          </w:p>
        </w:tc>
        <w:tc>
          <w:tcPr>
            <w:tcW w:type="dxa" w:w="3135"/>
          </w:tcPr>
          <w:p>
            <w:r>
              <w:rPr>
                <w:sz w:val="20"/>
              </w:rPr>
              <w:t>escol.as e melhorescola (via busca)</w:t>
            </w:r>
          </w:p>
        </w:tc>
        <w:tc>
          <w:tcPr>
            <w:tcW w:type="dxa" w:w="3135"/>
          </w:tcPr>
          <w:p>
            <w:r>
              <w:rPr>
                <w:sz w:val="20"/>
              </w:rPr>
              <w:t>Confirmar no Censo Escolar</w:t>
            </w:r>
          </w:p>
        </w:tc>
      </w:tr>
      <w:tr>
        <w:tc>
          <w:tcPr>
            <w:tcW w:type="dxa" w:w="3135"/>
          </w:tcPr>
          <w:p>
            <w:r>
              <w:rPr>
                <w:sz w:val="20"/>
              </w:rPr>
              <w:t>Outras escolas municipais citadas: Dr. Hélio Galvão, Joaquim Delvito (Sítio Pernambuquinho), Maria Zulma de Carvalho Lopes (Sítio Munim, zona rural), Presidente Costa e Silva, José Jerônimo Galvão e Vicência Castelo (Praia de Pipa).</w:t>
            </w:r>
          </w:p>
        </w:tc>
        <w:tc>
          <w:tcPr>
            <w:tcW w:type="dxa" w:w="3135"/>
          </w:tcPr>
          <w:p>
            <w:r>
              <w:rPr>
                <w:sz w:val="20"/>
              </w:rPr>
              <w:t>Agregadores de escolas (via busca)</w:t>
            </w:r>
          </w:p>
        </w:tc>
        <w:tc>
          <w:tcPr>
            <w:tcW w:type="dxa" w:w="3135"/>
          </w:tcPr>
          <w:p>
            <w:r>
              <w:rPr>
                <w:sz w:val="20"/>
              </w:rPr>
              <w:t>Lista parcial; confirmar a rede completa na SME e no Censo</w:t>
            </w:r>
          </w:p>
        </w:tc>
      </w:tr>
      <w:tr>
        <w:tc>
          <w:tcPr>
            <w:tcW w:type="dxa" w:w="3135"/>
          </w:tcPr>
          <w:p>
            <w:r>
              <w:rPr>
                <w:sz w:val="20"/>
              </w:rPr>
              <w:t>A população quilombola foi recenseada pela primeira vez no Censo 2022.</w:t>
            </w:r>
          </w:p>
        </w:tc>
        <w:tc>
          <w:tcPr>
            <w:tcW w:type="dxa" w:w="3135"/>
          </w:tcPr>
          <w:p>
            <w:r>
              <w:rPr>
                <w:sz w:val="20"/>
              </w:rPr>
              <w:t>Agência IBGE de Notícias</w:t>
            </w:r>
          </w:p>
        </w:tc>
        <w:tc>
          <w:tcPr>
            <w:tcW w:type="dxa" w:w="3135"/>
          </w:tcPr>
          <w:p>
            <w:r>
              <w:rPr>
                <w:sz w:val="20"/>
              </w:rPr>
              <w:t>Falta o dado de Tibau do Sul</w:t>
            </w:r>
          </w:p>
        </w:tc>
      </w:tr>
    </w:tbl>
    <w:p/>
    <w:p>
      <w:pPr>
        <w:pStyle w:val="Heading2"/>
      </w:pPr>
      <w:r>
        <w:t>2.2 Contradições e cuidados</w:t>
      </w:r>
    </w:p>
    <w:p>
      <w:pPr>
        <w:pStyle w:val="ListBullet"/>
      </w:pPr>
      <w:r>
        <w:rPr>
          <w:b/>
        </w:rPr>
        <w:t xml:space="preserve">Domitila: urbana. </w:t>
      </w:r>
      <w:r>
        <w:t>O endereço indicado é a Rua dos Colibris, Praia de Pipa, e um agregador a listou entre as escolas da zona rural. A pesquisadora confirmou que a escola é urbana. Na tese, a classificação deve vir com a ficha do Catálogo de Escolas do INEP, porque é ela que sustenta a afirmação.</w:t>
      </w:r>
    </w:p>
    <w:p>
      <w:pPr>
        <w:pStyle w:val="ListBullet"/>
      </w:pPr>
      <w:r>
        <w:rPr>
          <w:b/>
        </w:rPr>
        <w:t xml:space="preserve">"Distrito de Piau". </w:t>
      </w:r>
      <w:r>
        <w:t>Uma escola aparece como situada no "Distrito de Piau", mas pelo IBGE o município só tem o distrito sede. "Distrito" parece ser um uso local; na tese, use "localidade" ou "povoado" até confirmar.</w:t>
      </w:r>
    </w:p>
    <w:p>
      <w:pPr>
        <w:pStyle w:val="ListBullet"/>
      </w:pPr>
      <w:r>
        <w:rPr>
          <w:b/>
        </w:rPr>
        <w:t xml:space="preserve">Tibau e Tibau do Sul. </w:t>
      </w:r>
      <w:r>
        <w:t>A busca sobre o Plano Municipal de Educação trouxe a Lei Complementar nº 734/2025, que pertence ao município de Tibau (conhecido como Tibau do Norte, na Costa Branca). Deve ser descartada.</w:t>
      </w:r>
    </w:p>
    <w:p>
      <w:pPr>
        <w:pStyle w:val="Heading2"/>
      </w:pPr>
      <w:r>
        <w:t>2.3 Dados informados pela pesquisadora (levantamento próprio)</w:t>
      </w:r>
    </w:p>
    <w:p>
      <w:pPr>
        <w:jc w:val="both"/>
      </w:pPr>
      <w:r>
        <w:rPr>
          <w:i w:val="0"/>
        </w:rPr>
        <w:t>Os dados abaixo foram levantados pela pesquisadora para cobrir o que a busca não encontrou. As buscas feitas aqui não confirmaram nenhum deles, e o levantamento veio sem endereço das fontes. Antes de entrar na tese, cada dado precisa da referência primária (tabela do IBGE, microdado do INEP, texto da lei).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Dado informado</w:t>
            </w:r>
          </w:p>
        </w:tc>
        <w:tc>
          <w:tcPr>
            <w:tcW w:type="dxa" w:w="3135"/>
            <w:shd w:val="clear" w:color="auto" w:fill="FFCE32"/>
          </w:tcPr>
          <w:p>
            <w:r/>
            <w:r>
              <w:rPr>
                <w:b/>
              </w:rPr>
              <w:t>Fonte a citar</w:t>
            </w:r>
          </w:p>
        </w:tc>
        <w:tc>
          <w:tcPr>
            <w:tcW w:type="dxa" w:w="3135"/>
            <w:shd w:val="clear" w:color="auto" w:fill="FFCE32"/>
          </w:tcPr>
          <w:p>
            <w:r/>
            <w:r>
              <w:rPr>
                <w:b/>
              </w:rPr>
              <w:t>Situação</w:t>
            </w:r>
          </w:p>
        </w:tc>
      </w:tr>
      <w:tr>
        <w:tc>
          <w:tcPr>
            <w:tcW w:type="dxa" w:w="3135"/>
          </w:tcPr>
          <w:p>
            <w:r>
              <w:rPr>
                <w:sz w:val="20"/>
              </w:rPr>
              <w:t>Censo 2010: 11.385 habitantes, 6.861 urbanos (60,2%) e 4.524 rurais (39,8%). Censo 2022: 16.929, sem divisão urbano/rural publicada para o município.</w:t>
            </w:r>
          </w:p>
        </w:tc>
        <w:tc>
          <w:tcPr>
            <w:tcW w:type="dxa" w:w="3135"/>
          </w:tcPr>
          <w:p>
            <w:r>
              <w:rPr>
                <w:sz w:val="20"/>
              </w:rPr>
              <w:t>IBGE, SIDRA, tabela de população por situação do domicílio (2010)</w:t>
            </w:r>
          </w:p>
        </w:tc>
        <w:tc>
          <w:tcPr>
            <w:tcW w:type="dxa" w:w="3135"/>
          </w:tcPr>
          <w:p>
            <w:r>
              <w:rPr>
                <w:sz w:val="20"/>
              </w:rPr>
              <w:t>Conferir número e tabela</w:t>
            </w:r>
          </w:p>
        </w:tc>
      </w:tr>
      <w:tr>
        <w:tc>
          <w:tcPr>
            <w:tcW w:type="dxa" w:w="3135"/>
          </w:tcPr>
          <w:p>
            <w:r>
              <w:rPr>
                <w:sz w:val="20"/>
              </w:rPr>
              <w:t>Localidades: sede (Tibau do Sul), Pipa, Sibaúma, Umari, Piau, Bela Vista, Manimbu, Munim, Cabeceiras e Pernambuquinho.</w:t>
            </w:r>
          </w:p>
        </w:tc>
        <w:tc>
          <w:tcPr>
            <w:tcW w:type="dxa" w:w="3135"/>
          </w:tcPr>
          <w:p>
            <w:r>
              <w:rPr>
                <w:sz w:val="20"/>
              </w:rPr>
              <w:t>Falta a fonte: lei municipal, cadastro da Prefeitura ou base de localidades do IBGE</w:t>
            </w:r>
          </w:p>
        </w:tc>
        <w:tc>
          <w:tcPr>
            <w:tcW w:type="dxa" w:w="3135"/>
          </w:tcPr>
          <w:p>
            <w:r>
              <w:rPr>
                <w:sz w:val="20"/>
              </w:rPr>
              <w:t>Sem fonte; "oficialmente" não pode ser afirmado</w:t>
            </w:r>
          </w:p>
        </w:tc>
      </w:tr>
      <w:tr>
        <w:tc>
          <w:tcPr>
            <w:tcW w:type="dxa" w:w="3135"/>
          </w:tcPr>
          <w:p>
            <w:r>
              <w:rPr>
                <w:sz w:val="20"/>
              </w:rPr>
              <w:t>PME: Lei Municipal nº 517, de 24 de junho de 2015, com vigência de dez anos (2015-2025).</w:t>
            </w:r>
          </w:p>
        </w:tc>
        <w:tc>
          <w:tcPr>
            <w:tcW w:type="dxa" w:w="3135"/>
          </w:tcPr>
          <w:p>
            <w:r>
              <w:rPr>
                <w:sz w:val="20"/>
              </w:rPr>
              <w:t>Texto da lei (Câmara ou Prefeitura)</w:t>
            </w:r>
          </w:p>
        </w:tc>
        <w:tc>
          <w:tcPr>
            <w:tcW w:type="dxa" w:w="3135"/>
          </w:tcPr>
          <w:p>
            <w:r>
              <w:rPr>
                <w:sz w:val="20"/>
              </w:rPr>
              <w:t>Conferir; a busca aqui não encontrou a lei</w:t>
            </w:r>
          </w:p>
        </w:tc>
      </w:tr>
      <w:tr>
        <w:tc>
          <w:tcPr>
            <w:tcW w:type="dxa" w:w="3135"/>
          </w:tcPr>
          <w:p>
            <w:r>
              <w:rPr>
                <w:sz w:val="20"/>
              </w:rPr>
              <w:t>Escola Domitila: código INEP 24301310, localização urbana no Censo Escolar.</w:t>
            </w:r>
          </w:p>
        </w:tc>
        <w:tc>
          <w:tcPr>
            <w:tcW w:type="dxa" w:w="3135"/>
          </w:tcPr>
          <w:p>
            <w:r>
              <w:rPr>
                <w:sz w:val="20"/>
              </w:rPr>
              <w:t>Censo Escolar/INEP, ficha da escola</w:t>
            </w:r>
          </w:p>
        </w:tc>
        <w:tc>
          <w:tcPr>
            <w:tcW w:type="dxa" w:w="3135"/>
          </w:tcPr>
          <w:p>
            <w:r>
              <w:rPr>
                <w:sz w:val="20"/>
              </w:rPr>
              <w:t>Conferir o código e a localização</w:t>
            </w:r>
          </w:p>
        </w:tc>
      </w:tr>
      <w:tr>
        <w:tc>
          <w:tcPr>
            <w:tcW w:type="dxa" w:w="3135"/>
          </w:tcPr>
          <w:p>
            <w:r>
              <w:rPr>
                <w:sz w:val="20"/>
              </w:rPr>
              <w:t>"Distrito de Piau" é uso local; o IBGE reconhece só o distrito sede.</w:t>
            </w:r>
          </w:p>
        </w:tc>
        <w:tc>
          <w:tcPr>
            <w:tcW w:type="dxa" w:w="3135"/>
          </w:tcPr>
          <w:p>
            <w:r>
              <w:rPr>
                <w:sz w:val="20"/>
              </w:rPr>
              <w:t>IBGE, Divisão Territorial Brasileira</w:t>
            </w:r>
          </w:p>
        </w:tc>
        <w:tc>
          <w:tcPr>
            <w:tcW w:type="dxa" w:w="3135"/>
          </w:tcPr>
          <w:p>
            <w:r>
              <w:rPr>
                <w:sz w:val="20"/>
              </w:rPr>
              <w:t>Coerente com a busca; usar "localidade" ou "povoado"</w:t>
            </w:r>
          </w:p>
        </w:tc>
      </w:tr>
      <w:tr>
        <w:tc>
          <w:tcPr>
            <w:tcW w:type="dxa" w:w="3135"/>
          </w:tcPr>
          <w:p>
            <w:r>
              <w:rPr>
                <w:sz w:val="20"/>
              </w:rPr>
              <w:t>Rede pública (municipal e estadual): cerca de 11 escolas e 2.801 matrículas.</w:t>
            </w:r>
          </w:p>
        </w:tc>
        <w:tc>
          <w:tcPr>
            <w:tcW w:type="dxa" w:w="3135"/>
          </w:tcPr>
          <w:p>
            <w:r>
              <w:rPr>
                <w:sz w:val="20"/>
              </w:rPr>
              <w:t>INEP/QEdu, com ano de referência</w:t>
            </w:r>
          </w:p>
        </w:tc>
        <w:tc>
          <w:tcPr>
            <w:tcW w:type="dxa" w:w="3135"/>
          </w:tcPr>
          <w:p>
            <w:r>
              <w:rPr>
                <w:sz w:val="20"/>
              </w:rPr>
              <w:t>Conferir; separar rede municipal e estadual</w:t>
            </w:r>
          </w:p>
        </w:tc>
      </w:tr>
      <w:tr>
        <w:tc>
          <w:tcPr>
            <w:tcW w:type="dxa" w:w="3135"/>
          </w:tcPr>
          <w:p>
            <w:r>
              <w:rPr>
                <w:sz w:val="20"/>
              </w:rPr>
              <w:t>IDEB 2023 da rede municipal: 5,0 nos anos iniciais e 4,6 nos anos finais.</w:t>
            </w:r>
          </w:p>
        </w:tc>
        <w:tc>
          <w:tcPr>
            <w:tcW w:type="dxa" w:w="3135"/>
          </w:tcPr>
          <w:p>
            <w:r>
              <w:rPr>
                <w:sz w:val="20"/>
              </w:rPr>
              <w:t>INEP, resultados do IDEB 2023</w:t>
            </w:r>
          </w:p>
        </w:tc>
        <w:tc>
          <w:tcPr>
            <w:tcW w:type="dxa" w:w="3135"/>
          </w:tcPr>
          <w:p>
            <w:r>
              <w:rPr>
                <w:sz w:val="20"/>
              </w:rPr>
              <w:t>Conferir</w:t>
            </w:r>
          </w:p>
        </w:tc>
      </w:tr>
      <w:tr>
        <w:tc>
          <w:tcPr>
            <w:tcW w:type="dxa" w:w="3135"/>
          </w:tcPr>
          <w:p>
            <w:r>
              <w:rPr>
                <w:sz w:val="20"/>
              </w:rPr>
              <w:t>Censo 2022: 903 pessoas quilombolas em Tibau do Sul, concentradas em Sibaúma.</w:t>
            </w:r>
          </w:p>
        </w:tc>
        <w:tc>
          <w:tcPr>
            <w:tcW w:type="dxa" w:w="3135"/>
          </w:tcPr>
          <w:p>
            <w:r>
              <w:rPr>
                <w:sz w:val="20"/>
              </w:rPr>
              <w:t>IBGE, Censo 2022, quilombolas por município</w:t>
            </w:r>
          </w:p>
        </w:tc>
        <w:tc>
          <w:tcPr>
            <w:tcW w:type="dxa" w:w="3135"/>
          </w:tcPr>
          <w:p>
            <w:r>
              <w:rPr>
                <w:sz w:val="20"/>
              </w:rPr>
              <w:t>Conferir; a concentração em Sibaúma também precisa de fonte</w:t>
            </w:r>
          </w:p>
        </w:tc>
      </w:tr>
      <w:tr>
        <w:tc>
          <w:tcPr>
            <w:tcW w:type="dxa" w:w="3135"/>
          </w:tcPr>
          <w:p>
            <w:r>
              <w:rPr>
                <w:sz w:val="20"/>
              </w:rPr>
              <w:t>Não há documento público da SME sobre educação digital em transparência ativa; pedir via e-SIC (Lei de Acesso à Informação).</w:t>
            </w:r>
          </w:p>
        </w:tc>
        <w:tc>
          <w:tcPr>
            <w:tcW w:type="dxa" w:w="3135"/>
          </w:tcPr>
          <w:p>
            <w:r>
              <w:rPr>
                <w:sz w:val="20"/>
              </w:rPr>
              <w:t>Pesquisa nos portais e diários oficiais</w:t>
            </w:r>
          </w:p>
        </w:tc>
        <w:tc>
          <w:tcPr>
            <w:tcW w:type="dxa" w:w="3135"/>
          </w:tcPr>
          <w:p>
            <w:r>
              <w:rPr>
                <w:sz w:val="20"/>
              </w:rPr>
              <w:t>Coerente com a busca</w:t>
            </w:r>
          </w:p>
        </w:tc>
      </w:tr>
    </w:tbl>
    <w:p/>
    <w:p>
      <w:pPr>
        <w:pStyle w:val="Heading2"/>
      </w:pPr>
      <w:r>
        <w:t>2.4 Inconsistências a resolver nesse levantamento</w:t>
      </w:r>
    </w:p>
    <w:p>
      <w:pPr>
        <w:pStyle w:val="ListBullet"/>
      </w:pPr>
      <w:r>
        <w:rPr>
          <w:b/>
        </w:rPr>
        <w:t xml:space="preserve">Lei do PME. </w:t>
      </w:r>
      <w:r>
        <w:t>O texto recebido diz que a Lei nº 517/2015 foi "levantada na etapa anterior". Ela não foi: a busca anterior não encontrou o PME. A informação depende de conferência no texto da lei.</w:t>
      </w:r>
    </w:p>
    <w:p>
      <w:pPr>
        <w:pStyle w:val="ListBullet"/>
      </w:pPr>
      <w:r>
        <w:rPr>
          <w:b/>
        </w:rPr>
        <w:t xml:space="preserve">Matrículas. </w:t>
      </w:r>
      <w:r>
        <w:t>Só a Escola Domitila tem 351 crianças nos anos iniciais (TIBAU DO SUL, 2026). As 2.801 matrículas em 11 escolas públicas parecem baixas para um município de 16.929 habitantes. É preciso saber o ano, a fonte e se o número cobre todas as etapas e as duas redes.</w:t>
      </w:r>
    </w:p>
    <w:p>
      <w:pPr>
        <w:pStyle w:val="ListBullet"/>
      </w:pPr>
      <w:r>
        <w:rPr>
          <w:b/>
        </w:rPr>
        <w:t xml:space="preserve">Localidades. </w:t>
      </w:r>
      <w:r>
        <w:t>A lista mistura localidades de natureza diferente (o distrito sede, povoados, uma comunidade quilombola). Para a tese, convém indicar a fonte e, se possível, a situação de cada uma (urbana ou rural).</w:t>
      </w:r>
    </w:p>
    <w:p>
      <w:pPr>
        <w:pStyle w:val="ListBullet"/>
      </w:pPr>
      <w:r>
        <w:rPr>
          <w:b/>
        </w:rPr>
        <w:t xml:space="preserve">Crescimento. </w:t>
      </w:r>
      <w:r>
        <w:t>Uma das buscas indicou cerca de 14.500 habitantes em 2020 (estimativa), compatível com o salto entre 2010 e 2022. O crescimento de quase 50% em doze anos é, por si, um dado relevante para a tese.</w:t>
      </w:r>
    </w:p>
    <w:p>
      <w:pPr>
        <w:pStyle w:val="ListBullet"/>
      </w:pPr>
      <w:r>
        <w:rPr>
          <w:b/>
        </w:rPr>
        <w:t xml:space="preserve">Números já informados. </w:t>
      </w:r>
      <w:r>
        <w:t>A versão consolidada da seção 2 escrita pela pesquisadora diz que a população quilombola e a divisão urbano/rural ainda precisam ser quantificadas, mas a seção 2.3 já traz 903 quilombolas (Censo 2022) e 6.861 urbanos e 4.524 rurais (Censo 2010). Os dois textos precisam dizer a mesma coisa: os números entram como dados a conferir na fonte.</w:t>
      </w:r>
    </w:p>
    <w:p>
      <w:pPr>
        <w:pStyle w:val="ListBullet"/>
      </w:pPr>
      <w:r>
        <w:rPr>
          <w:b/>
        </w:rPr>
        <w:t xml:space="preserve">Fala do técnico e pedidos. </w:t>
      </w:r>
      <w:r>
        <w:t>A versão consolidada atribui ao técnico a menção a "ações ou planos". O registro da conversa é mais preciso: ele disse que existe um plano elaborado para a rede como um todo. A mesma versão diz que a coleta na SME ainda exige ida a campo, mas os documentos já foram solicitados ao técnico e à direção da escola.</w:t>
      </w:r>
    </w:p>
    <w:p>
      <w:pPr>
        <w:pStyle w:val="ListBullet"/>
      </w:pPr>
      <w:r>
        <w:rPr>
          <w:b/>
        </w:rPr>
        <w:t xml:space="preserve">Programas federais. </w:t>
      </w:r>
      <w:r>
        <w:t>O PNATE atende o transporte de estudantes da zona rural, e o FUNDEB tem ponderação própria para escolas do campo; no PNAE, o valor diferenciado recai sobre escolas quilombolas e indígenas. Antes de afirmar que a classificação urbana ou rural muda transporte e merenda, é preciso citar as normas de cada programa.</w:t>
      </w:r>
    </w:p>
    <w:p>
      <w:pPr>
        <w:pStyle w:val="Heading2"/>
      </w:pPr>
      <w:r>
        <w:t>2.5 O que ainda falta levantar</w:t>
      </w:r>
    </w:p>
    <w:p>
      <w:pPr>
        <w:pStyle w:val="ListBullet"/>
      </w:pPr>
      <w:r>
        <w:t>A fonte de cada dado da seção 2.3 (tabela, microdado ou texto da lei, com ano e endereço).</w:t>
      </w:r>
    </w:p>
    <w:p>
      <w:pPr>
        <w:pStyle w:val="ListBullet"/>
      </w:pPr>
      <w:r>
        <w:t>Situação do PME depois de 2025: houve prorrogação ou novo plano? O novo PNE (Lei nº 15.388/2026) pede a adequação dos planos locais, o que precisa ser conferido no texto da lei.</w:t>
      </w:r>
    </w:p>
    <w:p>
      <w:pPr>
        <w:pStyle w:val="ListBullet"/>
      </w:pPr>
      <w:r>
        <w:t>Metas do PME sobre tecnologia, educação do campo e educação escolar quilombola.</w:t>
      </w:r>
    </w:p>
    <w:p>
      <w:pPr>
        <w:pStyle w:val="ListBullet"/>
      </w:pPr>
      <w:r>
        <w:t>Lista só da rede municipal, escola por escola: localidade, situação urbana ou rural, etapas, matrículas, internet, laboratório.</w:t>
      </w:r>
    </w:p>
    <w:p>
      <w:pPr>
        <w:pStyle w:val="ListBullet"/>
      </w:pPr>
      <w:r>
        <w:t>Escolas que o Censo Escolar marca em área remanescente de quilombo ou com educação escolar quilombola; se a Escola Padre Armando de Paiva aparece assim.</w:t>
      </w:r>
    </w:p>
    <w:p>
      <w:pPr>
        <w:pStyle w:val="ListBullet"/>
      </w:pPr>
      <w:r>
        <w:t>Situação de Sibaúma além da certificação de 2005: processo de titulação do território, se houver.</w:t>
      </w:r>
    </w:p>
    <w:p>
      <w:pPr>
        <w:pStyle w:val="ListBullet"/>
      </w:pPr>
      <w:r>
        <w:t>Existência de Sistema Municipal de Ensino e de Conselho Municipal de Educação, e qual currículo a rede adota (próprio ou o documento curricular do estado).</w:t>
      </w:r>
    </w:p>
    <w:p>
      <w:pPr>
        <w:pStyle w:val="ListBullet"/>
      </w:pPr>
      <w:r>
        <w:t>O "plano para a rede" citado pelo técnico: nome, data, aprovação, se trata de educação digital e se diferencia localidades.</w:t>
      </w:r>
    </w:p>
    <w:p>
      <w:pPr>
        <w:pStyle w:val="ListBullet"/>
      </w:pPr>
      <w:r>
        <w:t>Formações em educação digital já oferecidas à rede: quem ofertou, quando, para quem.</w:t>
      </w:r>
    </w:p>
    <w:p>
      <w:pPr>
        <w:pStyle w:val="ListBullet"/>
      </w:pPr>
      <w:r>
        <w:t>Conectividade das escolas (Censo Escolar e painéis do MEC sobre escolas conectadas).</w:t>
      </w:r>
    </w:p>
    <w:p>
      <w:pPr>
        <w:pStyle w:val="ListBullet"/>
      </w:pPr>
      <w:r>
        <w:t>Receita municipal e gasto em educação (Siconfi/Finbra), pendência que já vinha do cap. 5.</w:t>
      </w:r>
    </w:p>
    <w:p>
      <w:pPr>
        <w:pStyle w:val="ListBullet"/>
      </w:pPr>
      <w:r>
        <w:t>Coordenadas das localidades e das escolas, para um mapa do município na tese e na apresentação.</w:t>
      </w:r>
    </w:p>
    <w:p>
      <w:pPr>
        <w:jc w:val="both"/>
      </w:pPr>
      <w:r>
        <w:rPr>
          <w:i w:val="0"/>
        </w:rPr>
        <w:t>Pedido via e-SIC: vale fazer um único pedido à SME com os itens desta lista que dependem dela, citando a Lei nº 12.527/2011, e anexar a resposta aos documentos da pesquisa.</w:t>
      </w:r>
    </w:p>
    <w:p>
      <w:pPr>
        <w:pStyle w:val="Heading1"/>
      </w:pPr>
      <w:r>
        <w:t>3. O que a tese já tem que sustenta a virada</w:t>
      </w:r>
    </w:p>
    <w:p>
      <w:pPr>
        <w:jc w:val="both"/>
      </w:pPr>
      <w:r>
        <w:rPr>
          <w:i w:val="0"/>
        </w:rPr>
        <w:t>A mudança pedida pela orientadora tem apoio no que já está escrito. Vale apresentá-la como aprofundamento de uma escala que a tese já anunciava sem operacionalizar:</w:t>
      </w:r>
    </w:p>
    <w:p>
      <w:pPr>
        <w:pStyle w:val="ListBullet"/>
      </w:pPr>
      <w:r>
        <w:rPr>
          <w:b/>
        </w:rPr>
        <w:t xml:space="preserve">Lacuna da revisão. </w:t>
      </w:r>
      <w:r>
        <w:t>A RSL registra que nenhum estudo examina uma rede municipal de pequeno porte (cap. 2, Quadro 8). Hoje a resposta da tese a essa lacuna é uma escola; com a virada, passa a ser a rede.</w:t>
      </w:r>
    </w:p>
    <w:p>
      <w:pPr>
        <w:pStyle w:val="ListBullet"/>
      </w:pPr>
      <w:r>
        <w:rPr>
          <w:b/>
        </w:rPr>
        <w:t xml:space="preserve">Cadeia de tradução. </w:t>
      </w:r>
      <w:r>
        <w:t>O cap. 5 diz que o caso finlandês oferece "a mesma cadeia de tradução em duas etapas que esta pesquisa acompanha, da diretriz nacional à rede municipal e desta aos espaços escolares" (Quadro 10). A segunda etapa, a rede, ainda não tem lugar próprio no método.</w:t>
      </w:r>
    </w:p>
    <w:p>
      <w:pPr>
        <w:pStyle w:val="ListBullet"/>
      </w:pPr>
      <w:r>
        <w:rPr>
          <w:b/>
        </w:rPr>
        <w:t xml:space="preserve">Governança. </w:t>
      </w:r>
      <w:r>
        <w:t>A primeira categoria sensibilizadora do cap. 5 pergunta o que chega da União e do estado à rede e o que a Secretaria repassa à escola.</w:t>
      </w:r>
    </w:p>
    <w:p>
      <w:pPr>
        <w:pStyle w:val="ListBullet"/>
      </w:pPr>
      <w:r>
        <w:rPr>
          <w:b/>
        </w:rPr>
        <w:t xml:space="preserve">Vazio material. </w:t>
      </w:r>
      <w:r>
        <w:t>O vazio material é, por definição, uma questão da capacidade de cada rede. Ele só pode ser examinado com a SME no centro.</w:t>
      </w:r>
    </w:p>
    <w:p>
      <w:pPr>
        <w:pStyle w:val="ListBullet"/>
      </w:pPr>
      <w:r>
        <w:rPr>
          <w:b/>
        </w:rPr>
        <w:t xml:space="preserve">Resolução de 2025. </w:t>
      </w:r>
      <w:r>
        <w:t>A Resolução CNE/CEB nº 2/2025 (art. 36) atribuiu às redes a elaboração dos currículos com plano de formação ao longo de 2025. O "plano para a rede como um todo" citado pelo técnico pode ser esse documento, mas isso precisa ser confirmado com ele.</w:t>
      </w:r>
    </w:p>
    <w:p>
      <w:pPr>
        <w:pStyle w:val="ListBullet"/>
      </w:pPr>
      <w:r>
        <w:rPr>
          <w:b/>
        </w:rPr>
        <w:t xml:space="preserve">Teoria da atuação e cap. 6. </w:t>
      </w:r>
      <w:r>
        <w:t>A dimensão externa da teoria da atuação (pressões e apoios vindos de fora da escola) e a ideia do cap. 6 de que a escola é um "nó de uma rede territorial" já apontam para a escala municipal.</w:t>
      </w:r>
    </w:p>
    <w:p>
      <w:pPr>
        <w:pStyle w:val="ListBullet"/>
      </w:pPr>
      <w:r>
        <w:rPr>
          <w:b/>
        </w:rPr>
        <w:t xml:space="preserve">Prioridade aos vulneráveis. </w:t>
      </w:r>
      <w:r>
        <w:t>A PNED prioriza as populações mais vulneráveis (art. 1º). A tese já usa isso como critério: se a política é delas, as redes e escolas com menos recursos deveriam receber os meios primeiro. Com a virada, o critério se aplica dentro do município: que localidades a SME prioriza?</w:t>
      </w:r>
    </w:p>
    <w:p>
      <w:pPr>
        <w:pStyle w:val="Heading1"/>
      </w:pPr>
      <w:r>
        <w:t>4. Nova arquitetura proposta</w:t>
      </w:r>
    </w:p>
    <w:p>
      <w:pPr>
        <w:jc w:val="both"/>
      </w:pPr>
      <w:r>
        <w:rPr>
          <w:i w:val="0"/>
        </w:rPr>
        <w:t>A política passa a ser acompanhada em três escalas, cada uma ligada a um contexto da ACP e a um capítulo.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Escala</w:t>
            </w:r>
          </w:p>
        </w:tc>
        <w:tc>
          <w:tcPr>
            <w:tcW w:type="dxa" w:w="2351"/>
            <w:shd w:val="clear" w:color="auto" w:fill="FFCE32"/>
          </w:tcPr>
          <w:p>
            <w:r/>
            <w:r>
              <w:rPr>
                <w:b/>
              </w:rPr>
              <w:t>O que se examina</w:t>
            </w:r>
          </w:p>
        </w:tc>
        <w:tc>
          <w:tcPr>
            <w:tcW w:type="dxa" w:w="2351"/>
            <w:shd w:val="clear" w:color="auto" w:fill="FFCE32"/>
          </w:tcPr>
          <w:p>
            <w:r/>
            <w:r>
              <w:rPr>
                <w:b/>
              </w:rPr>
              <w:t>Fontes</w:t>
            </w:r>
          </w:p>
        </w:tc>
        <w:tc>
          <w:tcPr>
            <w:tcW w:type="dxa" w:w="2351"/>
            <w:shd w:val="clear" w:color="auto" w:fill="FFCE32"/>
          </w:tcPr>
          <w:p>
            <w:r/>
            <w:r>
              <w:rPr>
                <w:b/>
              </w:rPr>
              <w:t>Capítulo</w:t>
            </w:r>
          </w:p>
        </w:tc>
      </w:tr>
      <w:tr>
        <w:tc>
          <w:tcPr>
            <w:tcW w:type="dxa" w:w="2351"/>
          </w:tcPr>
          <w:p>
            <w:r>
              <w:rPr>
                <w:sz w:val="20"/>
              </w:rPr>
              <w:t>Nacional</w:t>
            </w:r>
          </w:p>
        </w:tc>
        <w:tc>
          <w:tcPr>
            <w:tcW w:type="dxa" w:w="2351"/>
          </w:tcPr>
          <w:p>
            <w:r>
              <w:rPr>
                <w:sz w:val="20"/>
              </w:rPr>
              <w:t>Produção do texto: PNED, Res. CNE/CEB 2/2025, normas correlatas; agendas e comparação</w:t>
            </w:r>
          </w:p>
        </w:tc>
        <w:tc>
          <w:tcPr>
            <w:tcW w:type="dxa" w:w="2351"/>
          </w:tcPr>
          <w:p>
            <w:r>
              <w:rPr>
                <w:sz w:val="20"/>
              </w:rPr>
              <w:t>Documentos legais e internacionais</w:t>
            </w:r>
          </w:p>
        </w:tc>
        <w:tc>
          <w:tcPr>
            <w:tcW w:type="dxa" w:w="2351"/>
          </w:tcPr>
          <w:p>
            <w:r>
              <w:rPr>
                <w:sz w:val="20"/>
              </w:rPr>
              <w:t>Cap. 5 (já escrito)</w:t>
            </w:r>
          </w:p>
        </w:tc>
      </w:tr>
      <w:tr>
        <w:tc>
          <w:tcPr>
            <w:tcW w:type="dxa" w:w="2351"/>
          </w:tcPr>
          <w:p>
            <w:r>
              <w:rPr>
                <w:sz w:val="20"/>
              </w:rPr>
              <w:t>Municipal</w:t>
            </w:r>
          </w:p>
        </w:tc>
        <w:tc>
          <w:tcPr>
            <w:tcW w:type="dxa" w:w="2351"/>
          </w:tcPr>
          <w:p>
            <w:r>
              <w:rPr>
                <w:sz w:val="20"/>
              </w:rPr>
              <w:t>Como a SME recebe e retraduz a PNED: plano da rede, currículo, formação, orientações às escolas; se e como esses documentos consideram a diversidade do território (sede, Pipa, Sibaúma, Piau, área rural, comunidade quilombola)</w:t>
            </w:r>
          </w:p>
        </w:tc>
        <w:tc>
          <w:tcPr>
            <w:tcW w:type="dxa" w:w="2351"/>
          </w:tcPr>
          <w:p>
            <w:r>
              <w:rPr>
                <w:sz w:val="20"/>
              </w:rPr>
              <w:t>Documentos da SME, entrevista(s) na SME, Censo Escolar por escola, IBGE, PME</w:t>
            </w:r>
          </w:p>
        </w:tc>
        <w:tc>
          <w:tcPr>
            <w:tcW w:type="dxa" w:w="2351"/>
          </w:tcPr>
          <w:p>
            <w:r>
              <w:rPr>
                <w:sz w:val="20"/>
              </w:rPr>
              <w:t>Novo capítulo ou cap. 6 reorganizado</w:t>
            </w:r>
          </w:p>
        </w:tc>
      </w:tr>
      <w:tr>
        <w:tc>
          <w:tcPr>
            <w:tcW w:type="dxa" w:w="2351"/>
          </w:tcPr>
          <w:p>
            <w:r>
              <w:rPr>
                <w:sz w:val="20"/>
              </w:rPr>
              <w:t>Escolar</w:t>
            </w:r>
          </w:p>
        </w:tc>
        <w:tc>
          <w:tcPr>
            <w:tcW w:type="dxa" w:w="2351"/>
          </w:tcPr>
          <w:p>
            <w:r>
              <w:rPr>
                <w:sz w:val="20"/>
              </w:rPr>
              <w:t>Como os profissionais da Escola Domitila encenam a política e as orientações municipais</w:t>
            </w:r>
          </w:p>
        </w:tc>
        <w:tc>
          <w:tcPr>
            <w:tcW w:type="dxa" w:w="2351"/>
          </w:tcPr>
          <w:p>
            <w:r>
              <w:rPr>
                <w:sz w:val="20"/>
              </w:rPr>
              <w:t>Questionário, entrevistas, documentos da escola, registro iconográfico</w:t>
            </w:r>
          </w:p>
        </w:tc>
        <w:tc>
          <w:tcPr>
            <w:tcW w:type="dxa" w:w="2351"/>
          </w:tcPr>
          <w:p>
            <w:r>
              <w:rPr>
                <w:sz w:val="20"/>
              </w:rPr>
              <w:t>Cap. 6 (escola) e cap. 7</w:t>
            </w:r>
          </w:p>
        </w:tc>
      </w:tr>
    </w:tbl>
    <w:p/>
    <w:p>
      <w:pPr>
        <w:pStyle w:val="Heading2"/>
      </w:pPr>
      <w:r>
        <w:t>4.1 Desenho do caso: duas opções</w:t>
      </w:r>
    </w:p>
    <w:p>
      <w:pPr>
        <w:jc w:val="both"/>
      </w:pPr>
      <w:r>
        <w:rPr>
          <w:b/>
        </w:rPr>
        <w:t xml:space="preserve">Opção A. </w:t>
      </w:r>
      <w:r>
        <w:rPr>
          <w:i w:val="0"/>
        </w:rPr>
        <w:t>Opção A, recomendada: estudo de caso único com unidades incorporadas. O caso é a encenação da PNED na rede municipal de Tibau do Sul. As unidades de análise são a SME, como contexto de recontextualização municipal, e a Escola Domitila, como contexto da prática. A diversidade do território entra pela análise documental e pelos dados do Censo Escolar de todas as escolas da rede, para mostrar se e como a SME diferencia localidades. A pesquisa de campo com profissionais continua concentrada em uma escola. Yin (2001) trata desse desenho como caso único incorporado (a página exata ainda precisa ser localizada na edição usada).</w:t>
      </w:r>
    </w:p>
    <w:p>
      <w:pPr>
        <w:jc w:val="both"/>
      </w:pPr>
      <w:r>
        <w:rPr>
          <w:b/>
        </w:rPr>
        <w:t xml:space="preserve">Opção B. </w:t>
      </w:r>
      <w:r>
        <w:rPr>
          <w:i w:val="0"/>
        </w:rPr>
        <w:t>Opção B: incluir uma segunda escola, como a de Sibaúma, para contrastar Pipa com a comunidade quilombola. Ganha em comparação, mas pede nova emenda ao CEP com outra instituição, cuidados próprios para pesquisa em território quilombola e mais tempo de campo. Pode ficar como desdobramento ou ser restrita à análise documental dessa escola.</w:t>
      </w:r>
    </w:p>
    <w:p>
      <w:pPr>
        <w:jc w:val="both"/>
      </w:pPr>
      <w:r>
        <w:rPr>
          <w:i w:val="0"/>
        </w:rPr>
        <w:t>A escolha entre A e B é da pesquisadora com a orientadora. O restante deste roteiro segue a opção A e indica onde a B mudaria o plano.</w:t>
      </w:r>
    </w:p>
    <w:p>
      <w:pPr>
        <w:pStyle w:val="Heading1"/>
      </w:pPr>
      <w:r>
        <w:t>5. Minuta da proposta revisada</w:t>
      </w:r>
    </w:p>
    <w:p>
      <w:pPr>
        <w:jc w:val="both"/>
      </w:pPr>
      <w:r>
        <w:rPr>
          <w:i/>
        </w:rPr>
        <w:t>Os textos abaixo são rascunhos para discutir com a orientadora antes de entrar no projeto.</w:t>
      </w:r>
    </w:p>
    <w:p>
      <w:pPr>
        <w:pStyle w:val="Heading2"/>
      </w:pPr>
      <w:r>
        <w:t>5.1 Título (opções)</w:t>
      </w:r>
    </w:p>
    <w:p>
      <w:pPr>
        <w:pStyle w:val="ListBullet"/>
      </w:pPr>
      <w:r>
        <w:t>A encenação da Política Nacional de Educação Digital em Tibau do Sul/RN: da Secretaria Municipal de Educação à escola de Pipa, entre culturas profissionais, território e resistências</w:t>
      </w:r>
    </w:p>
    <w:p>
      <w:pPr>
        <w:pStyle w:val="ListBullet"/>
      </w:pPr>
      <w:r>
        <w:t>Da rede à escola: a encenação da PNED em um município diverso do litoral potiguar</w:t>
      </w:r>
    </w:p>
    <w:p>
      <w:pPr>
        <w:pStyle w:val="ListBullet"/>
      </w:pPr>
      <w:r>
        <w:t>Manter o título atual e trocar "em Pipa/RN" por "em Tibau do Sul/RN"</w:t>
      </w:r>
    </w:p>
    <w:p>
      <w:pPr>
        <w:pStyle w:val="Heading2"/>
      </w:pPr>
      <w:r>
        <w:t>5.2 Objeto</w:t>
      </w:r>
    </w:p>
    <w:p>
      <w:pPr>
        <w:jc w:val="both"/>
      </w:pPr>
      <w:r>
        <w:rPr>
          <w:i w:val="0"/>
        </w:rPr>
        <w:t>A PNED, no eixo Educação Digital Escolar, tal como é recontextualizada pela Secretaria Municipal de Educação de Tibau do Sul para uma rede que atende um território diverso (sede, Pipa, Sibaúma, localidades rurais e uma comunidade quilombola) e encenada pelos profissionais da educação nos anos iniciais da Escola Municipal Domitila Castelo da Silva, em Pipa.</w:t>
      </w:r>
    </w:p>
    <w:p>
      <w:pPr>
        <w:pStyle w:val="Heading2"/>
      </w:pPr>
      <w:r>
        <w:t>5.3 Questão de pesquisa</w:t>
      </w:r>
    </w:p>
    <w:p>
      <w:pPr>
        <w:jc w:val="both"/>
      </w:pPr>
      <w:r>
        <w:rPr>
          <w:i w:val="0"/>
        </w:rPr>
        <w:t>Como a Política Nacional de Educação Digital é recontextualizada pela Secretaria Municipal de Educação de Tibau do Sul (RN), num território municipal que reúne áreas urbanas e rurais, povoados com realidades distintas e uma comunidade quilombola, e como essa recontextualização chega à Escola Municipal Domitila Castelo da Silva, em Pipa, onde os profissionais da educação a encenam, atravessados pelas culturas profissionais, pelas condições materiais e institucionais da escola e pelas especificidades do lugar, produzindo diferentes formas de atuação, entre as quais podem emergir acomodações, negociações, ressignificações e resistências?</w:t>
      </w:r>
    </w:p>
    <w:p>
      <w:pPr>
        <w:pStyle w:val="Heading2"/>
      </w:pPr>
      <w:r>
        <w:t>5.4 Objetivo geral</w:t>
      </w:r>
    </w:p>
    <w:p>
      <w:pPr>
        <w:jc w:val="both"/>
      </w:pPr>
      <w:r>
        <w:rPr>
          <w:i w:val="0"/>
        </w:rPr>
        <w:t>Analisar a recontextualização da Política Nacional de Educação Digital da Secretaria Municipal de Educação de Tibau do Sul até o contexto da prática da Escola Municipal Domitila Castelo da Silva, em Pipa, considerando a diversidade socioespacial do território municipal, as culturas profissionais e as condições materiais e institucionais da rede e da escola.</w:t>
      </w:r>
    </w:p>
    <w:p>
      <w:pPr>
        <w:pStyle w:val="Heading2"/>
      </w:pPr>
      <w:r>
        <w:t>5.5 Objetivos específicos (um verbo por objetivo)</w:t>
      </w:r>
    </w:p>
    <w:p>
      <w:pPr>
        <w:jc w:val="both"/>
      </w:pPr>
      <w:r>
        <w:rPr>
          <w:i w:val="0"/>
        </w:rPr>
        <w:t>a) Analisar a recontextualização da PNED pela Secretaria Municipal de Educação em planos, currículos, formações e orientações para a rede, considerando as especificidades das localidades do município, entre elas as áreas rurais e a comunidade quilombola de Sibaúma;</w:t>
      </w:r>
    </w:p>
    <w:p>
      <w:pPr>
        <w:jc w:val="both"/>
      </w:pPr>
      <w:r>
        <w:rPr>
          <w:i w:val="0"/>
        </w:rPr>
        <w:t>b) Compreender a interpretação da PNED e das orientações municipais pelos profissionais da escola, à luz de suas experiências, crenças, valores e formas de organização do trabalho;</w:t>
      </w:r>
    </w:p>
    <w:p>
      <w:pPr>
        <w:jc w:val="both"/>
      </w:pPr>
      <w:r>
        <w:rPr>
          <w:i w:val="0"/>
        </w:rPr>
        <w:t>c) Examinar a relação entre as condições materiais e institucionais da escola, articuladas às especificidades de Pipa no território municipal, e a tradução da política em ações, escolhas e práticas cotidianas;</w:t>
      </w:r>
    </w:p>
    <w:p>
      <w:pPr>
        <w:jc w:val="both"/>
      </w:pPr>
      <w:r>
        <w:rPr>
          <w:i w:val="0"/>
        </w:rPr>
        <w:t>d) Identificar as formas de atuação produzidas diante da política e das orientações municipais, da adesão à resistência, e suas implicações para a provisão, a proteção e a participação das crianças no ambiente digital.</w:t>
      </w:r>
    </w:p>
    <w:p>
      <w:pPr>
        <w:jc w:val="both"/>
      </w:pPr>
      <w:r>
        <w:rPr>
          <w:i/>
        </w:rPr>
        <w:t>Regra da orientadora: um único verbo no infinitivo por objetivo. As ações que antes vinham como verbos separados passaram a substantivos ou complementos do mesmo verbo.</w:t>
      </w:r>
    </w:p>
    <w:p>
      <w:pPr>
        <w:pStyle w:val="Heading2"/>
      </w:pPr>
      <w:r>
        <w:t>5.6 O que muda no resto da proposta</w:t>
      </w:r>
    </w:p>
    <w:p>
      <w:pPr>
        <w:pStyle w:val="ListBullet"/>
      </w:pPr>
      <w:r>
        <w:rPr>
          <w:b/>
        </w:rPr>
        <w:t xml:space="preserve">Relevância e ineditismo: </w:t>
      </w:r>
      <w:r>
        <w:t>O plano analítico-espacial passa a ser o território municipal, com Pipa como um dos lugares onde a política é posta em ato. O empírico-temporal ganha a escala da rede: como um município pequeno retraduz a PNED no ano em que ela se torna obrigatória.</w:t>
      </w:r>
    </w:p>
    <w:p>
      <w:pPr>
        <w:pStyle w:val="ListBullet"/>
      </w:pPr>
      <w:r>
        <w:rPr>
          <w:b/>
        </w:rPr>
        <w:t xml:space="preserve">Referencial: </w:t>
      </w:r>
      <w:r>
        <w:t>A ACP ganha a escala municipal como contexto intermediário de recontextualização; a dimensão externa da teoria da atuação passa a ter fonte própria (a SME). O território municipal é lido com Santos e Massey; entram as diretrizes da educação escolar quilombola e da educação do campo como textos de política que a SME deveria considerar.</w:t>
      </w:r>
    </w:p>
    <w:p>
      <w:pPr>
        <w:pStyle w:val="ListBullet"/>
      </w:pPr>
      <w:r>
        <w:rPr>
          <w:b/>
        </w:rPr>
        <w:t xml:space="preserve">Metodologia: </w:t>
      </w:r>
      <w:r>
        <w:t>Primeiro movimento: análise documental municipal (com matriz que pergunta pela diversidade territorial). Segundo: entrevista com o técnico da SME, agora central, e possivelmente com outra pessoa da gestão. Terceiro: leitura do território municipal (IBGE, Censo Escolar por escola, localidades). Depois, a escola, como já previsto.</w:t>
      </w:r>
    </w:p>
    <w:p>
      <w:pPr>
        <w:pStyle w:val="ListBullet"/>
      </w:pPr>
      <w:r>
        <w:rPr>
          <w:b/>
        </w:rPr>
        <w:t xml:space="preserve">Ética: </w:t>
      </w:r>
      <w:r>
        <w:t>A emenda ao CEP precisa incluir a SME como instituição coparticipante (se ainda não estiver), os documentos municipais e o roteiro ampliado do técnico. Na opção B, também a segunda escola e os cuidados com o território quilombola.</w:t>
      </w:r>
    </w:p>
    <w:p>
      <w:pPr>
        <w:pStyle w:val="ListBullet"/>
      </w:pPr>
      <w:r>
        <w:rPr>
          <w:b/>
        </w:rPr>
        <w:t xml:space="preserve">Tese de partida: </w:t>
      </w:r>
      <w:r>
        <w:t>A forma assumida pela política na escola resulta da relação entre o que a lei prescreve, o que a rede municipal traduz e as condições sob as quais os profissionais atuam. A pergunta sobre quem paga pelo vazio material e formativo passa a ter duas escalas: a da rede e a da escola.</w:t>
      </w:r>
    </w:p>
    <w:p>
      <w:pPr>
        <w:pStyle w:val="Heading1"/>
      </w:pPr>
      <w:r>
        <w:t>6. Correções capítulo a capítulo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FFCE32"/>
          </w:tcPr>
          <w:p>
            <w:r/>
            <w:r>
              <w:rPr>
                <w:b/>
              </w:rPr>
              <w:t>Arquivo</w:t>
            </w:r>
          </w:p>
        </w:tc>
        <w:tc>
          <w:tcPr>
            <w:tcW w:type="dxa" w:w="3135"/>
            <w:shd w:val="clear" w:color="auto" w:fill="FFCE32"/>
          </w:tcPr>
          <w:p>
            <w:r/>
            <w:r>
              <w:rPr>
                <w:b/>
              </w:rPr>
              <w:t>O que corrigir</w:t>
            </w:r>
          </w:p>
        </w:tc>
        <w:tc>
          <w:tcPr>
            <w:tcW w:type="dxa" w:w="3135"/>
            <w:shd w:val="clear" w:color="auto" w:fill="FFCE32"/>
          </w:tcPr>
          <w:p>
            <w:r/>
            <w:r>
              <w:rPr>
                <w:b/>
              </w:rPr>
              <w:t>Peso</w:t>
            </w:r>
          </w:p>
        </w:tc>
      </w:tr>
      <w:tr>
        <w:tc>
          <w:tcPr>
            <w:tcW w:type="dxa" w:w="3135"/>
          </w:tcPr>
          <w:p>
            <w:r>
              <w:rPr>
                <w:sz w:val="20"/>
              </w:rPr>
              <w:t>Projeto de tese</w:t>
            </w:r>
          </w:p>
        </w:tc>
        <w:tc>
          <w:tcPr>
            <w:tcW w:type="dxa" w:w="3135"/>
          </w:tcPr>
          <w:p>
            <w:r>
              <w:rPr>
                <w:sz w:val="20"/>
              </w:rPr>
              <w:t>Título, objeto, questão, objetivos, relevância, ineditismo, referencial (escala municipal), seções 6 e 7 (território municipal e habitar o digital no município), metodologia (SME central, novos documentos, leitura do território municipal), participantes, construção dos dados, tese de partida, contribuições.</w:t>
            </w:r>
          </w:p>
        </w:tc>
        <w:tc>
          <w:tcPr>
            <w:tcW w:type="dxa" w:w="3135"/>
          </w:tcPr>
          <w:p>
            <w:r>
              <w:rPr>
                <w:sz w:val="20"/>
              </w:rPr>
              <w:t>Alto: é o primeiro passo</w:t>
            </w:r>
          </w:p>
        </w:tc>
      </w:tr>
      <w:tr>
        <w:tc>
          <w:tcPr>
            <w:tcW w:type="dxa" w:w="3135"/>
          </w:tcPr>
          <w:p>
            <w:r>
              <w:rPr>
                <w:sz w:val="20"/>
              </w:rPr>
              <w:t>Cap. 1 · Introdução</w:t>
            </w:r>
          </w:p>
        </w:tc>
        <w:tc>
          <w:tcPr>
            <w:tcW w:type="dxa" w:w="3135"/>
          </w:tcPr>
          <w:p>
            <w:r>
              <w:rPr>
                <w:sz w:val="20"/>
              </w:rPr>
              <w:t>Justificativa com a diversidade do município; problematização a partir da rede; questão e objetivos novos; percurso; ineditismo; arquitetura (1.6) com o novo capítulo.</w:t>
            </w:r>
          </w:p>
        </w:tc>
        <w:tc>
          <w:tcPr>
            <w:tcW w:type="dxa" w:w="3135"/>
          </w:tcPr>
          <w:p>
            <w:r>
              <w:rPr>
                <w:sz w:val="20"/>
              </w:rPr>
              <w:t>Alto</w:t>
            </w:r>
          </w:p>
        </w:tc>
      </w:tr>
      <w:tr>
        <w:tc>
          <w:tcPr>
            <w:tcW w:type="dxa" w:w="3135"/>
          </w:tcPr>
          <w:p>
            <w:r>
              <w:rPr>
                <w:sz w:val="20"/>
              </w:rPr>
              <w:t>Cap. 2 · RSL</w:t>
            </w:r>
          </w:p>
        </w:tc>
        <w:tc>
          <w:tcPr>
            <w:tcW w:type="dxa" w:w="3135"/>
          </w:tcPr>
          <w:p>
            <w:r>
              <w:rPr>
                <w:sz w:val="20"/>
              </w:rPr>
              <w:t>Reescrever a "resposta desta tese" à lacuna das redes de pequeno porte (Quadro 8 e 2.5.4). Opcional: busca complementar sobre educação digital em escolas quilombolas e do campo, como literatura de contextualização, sem refazer o protocolo.</w:t>
            </w:r>
          </w:p>
        </w:tc>
        <w:tc>
          <w:tcPr>
            <w:tcW w:type="dxa" w:w="3135"/>
          </w:tcPr>
          <w:p>
            <w:r>
              <w:rPr>
                <w:sz w:val="20"/>
              </w:rPr>
              <w:t>Baixo a médio</w:t>
            </w:r>
          </w:p>
        </w:tc>
      </w:tr>
      <w:tr>
        <w:tc>
          <w:tcPr>
            <w:tcW w:type="dxa" w:w="3135"/>
          </w:tcPr>
          <w:p>
            <w:r>
              <w:rPr>
                <w:sz w:val="20"/>
              </w:rPr>
              <w:t>Cap. 3 · Fundamentos</w:t>
            </w:r>
          </w:p>
        </w:tc>
        <w:tc>
          <w:tcPr>
            <w:tcW w:type="dxa" w:w="3135"/>
          </w:tcPr>
          <w:p>
            <w:r>
              <w:rPr>
                <w:sz w:val="20"/>
              </w:rPr>
              <w:t>Em 3.1 e 3.2, a rede municipal como contexto de recontextualização e a dimensão externa. Em 3.6, o território municipal. Nova subseção curta: educação escolar quilombola e do campo como textos que a rede deveria considerar (Res. CNE/CEB nº 8/2012 e normas da educação do campo, a conferir).</w:t>
            </w:r>
          </w:p>
        </w:tc>
        <w:tc>
          <w:tcPr>
            <w:tcW w:type="dxa" w:w="3135"/>
          </w:tcPr>
          <w:p>
            <w:r>
              <w:rPr>
                <w:sz w:val="20"/>
              </w:rPr>
              <w:t>Médio</w:t>
            </w:r>
          </w:p>
        </w:tc>
      </w:tr>
      <w:tr>
        <w:tc>
          <w:tcPr>
            <w:tcW w:type="dxa" w:w="3135"/>
          </w:tcPr>
          <w:p>
            <w:r>
              <w:rPr>
                <w:sz w:val="20"/>
              </w:rPr>
              <w:t>Cap. 4 · Metodologia</w:t>
            </w:r>
          </w:p>
        </w:tc>
        <w:tc>
          <w:tcPr>
            <w:tcW w:type="dxa" w:w="3135"/>
          </w:tcPr>
          <w:p>
            <w:r>
              <w:rPr>
                <w:sz w:val="20"/>
              </w:rPr>
              <w:t>Desenho (caso único incorporado), participantes (técnico central; avaliar mais alguém da SME), análise documental municipal com matriz da diversidade, leitura do território municipal, roteiro do técnico ampliado, Quadro 9, cronograma e emenda ao CEP.</w:t>
            </w:r>
          </w:p>
        </w:tc>
        <w:tc>
          <w:tcPr>
            <w:tcW w:type="dxa" w:w="3135"/>
          </w:tcPr>
          <w:p>
            <w:r>
              <w:rPr>
                <w:sz w:val="20"/>
              </w:rPr>
              <w:t>Alto</w:t>
            </w:r>
          </w:p>
        </w:tc>
      </w:tr>
      <w:tr>
        <w:tc>
          <w:tcPr>
            <w:tcW w:type="dxa" w:w="3135"/>
          </w:tcPr>
          <w:p>
            <w:r>
              <w:rPr>
                <w:sz w:val="20"/>
              </w:rPr>
              <w:t>Cap. 5 · Agenda e PNED</w:t>
            </w:r>
          </w:p>
        </w:tc>
        <w:tc>
          <w:tcPr>
            <w:tcW w:type="dxa" w:w="3135"/>
          </w:tcPr>
          <w:p>
            <w:r>
              <w:rPr>
                <w:sz w:val="20"/>
              </w:rPr>
              <w:t>Pequenos ajustes: deixar explícito que a segunda etapa da cadeia de tradução (a rede) é examinada no capítulo seguinte; o vazio material lido no município.</w:t>
            </w:r>
          </w:p>
        </w:tc>
        <w:tc>
          <w:tcPr>
            <w:tcW w:type="dxa" w:w="3135"/>
          </w:tcPr>
          <w:p>
            <w:r>
              <w:rPr>
                <w:sz w:val="20"/>
              </w:rPr>
              <w:t>Baixo</w:t>
            </w:r>
          </w:p>
        </w:tc>
      </w:tr>
      <w:tr>
        <w:tc>
          <w:tcPr>
            <w:tcW w:type="dxa" w:w="3135"/>
          </w:tcPr>
          <w:p>
            <w:r>
              <w:rPr>
                <w:sz w:val="20"/>
              </w:rPr>
              <w:t>Cap. 6 · Território</w:t>
            </w:r>
          </w:p>
        </w:tc>
        <w:tc>
          <w:tcPr>
            <w:tcW w:type="dxa" w:w="3135"/>
          </w:tcPr>
          <w:p>
            <w:r>
              <w:rPr>
                <w:sz w:val="20"/>
              </w:rPr>
              <w:t>Reorganizar como "Do município à escola": Tibau do Sul (formação, urbano e rural, localidades, Sibaúma quilombola, Pipa turística); a rede municipal (escolas por localidade, Censo Escolar, condições); a SME e a PNED (documentos e plano, na parte já disponível); Pipa; a escola. Pode virar dois capítulos.</w:t>
            </w:r>
          </w:p>
        </w:tc>
        <w:tc>
          <w:tcPr>
            <w:tcW w:type="dxa" w:w="3135"/>
          </w:tcPr>
          <w:p>
            <w:r>
              <w:rPr>
                <w:sz w:val="20"/>
              </w:rPr>
              <w:t>Alto</w:t>
            </w:r>
          </w:p>
        </w:tc>
      </w:tr>
      <w:tr>
        <w:tc>
          <w:tcPr>
            <w:tcW w:type="dxa" w:w="3135"/>
          </w:tcPr>
          <w:p>
            <w:r>
              <w:rPr>
                <w:sz w:val="20"/>
              </w:rPr>
              <w:t>Sumário</w:t>
            </w:r>
          </w:p>
        </w:tc>
        <w:tc>
          <w:tcPr>
            <w:tcW w:type="dxa" w:w="3135"/>
          </w:tcPr>
          <w:p>
            <w:r>
              <w:rPr>
                <w:sz w:val="20"/>
              </w:rPr>
              <w:t>Nova arquitetura de capítulos.</w:t>
            </w:r>
          </w:p>
        </w:tc>
        <w:tc>
          <w:tcPr>
            <w:tcW w:type="dxa" w:w="3135"/>
          </w:tcPr>
          <w:p>
            <w:r>
              <w:rPr>
                <w:sz w:val="20"/>
              </w:rPr>
              <w:t>Médio</w:t>
            </w:r>
          </w:p>
        </w:tc>
      </w:tr>
      <w:tr>
        <w:tc>
          <w:tcPr>
            <w:tcW w:type="dxa" w:w="3135"/>
          </w:tcPr>
          <w:p>
            <w:r>
              <w:rPr>
                <w:sz w:val="20"/>
              </w:rPr>
              <w:t>Apresentação, roteiro de fala e guias</w:t>
            </w:r>
          </w:p>
        </w:tc>
        <w:tc>
          <w:tcPr>
            <w:tcW w:type="dxa" w:w="3135"/>
          </w:tcPr>
          <w:p>
            <w:r>
              <w:rPr>
                <w:sz w:val="20"/>
              </w:rPr>
              <w:t>Refazer depois da proposta e dos capítulos: questão, objetivos, ineditismo, método, território (com mapa do município e localidades) e tese de partida.</w:t>
            </w:r>
          </w:p>
        </w:tc>
        <w:tc>
          <w:tcPr>
            <w:tcW w:type="dxa" w:w="3135"/>
          </w:tcPr>
          <w:p>
            <w:r>
              <w:rPr>
                <w:sz w:val="20"/>
              </w:rPr>
              <w:t>Médio, por último</w:t>
            </w:r>
          </w:p>
        </w:tc>
      </w:tr>
    </w:tbl>
    <w:p/>
    <w:p>
      <w:pPr>
        <w:pStyle w:val="Heading1"/>
      </w:pPr>
      <w:r>
        <w:t>7. Documentos e dados a reunir</w:t>
      </w:r>
    </w:p>
    <w:p>
      <w:pPr>
        <w:pStyle w:val="Heading2"/>
      </w:pPr>
      <w:r>
        <w:t>7.1 Na Secretaria Municipal de Educação</w:t>
      </w:r>
    </w:p>
    <w:p>
      <w:pPr>
        <w:pStyle w:val="ListBullet"/>
      </w:pPr>
      <w:r>
        <w:t>O plano para a rede citado pelo técnico: nome, ano, quem elaborou, se foi aprovado e por qual instância.</w:t>
      </w:r>
    </w:p>
    <w:p>
      <w:pPr>
        <w:pStyle w:val="ListBullet"/>
      </w:pPr>
      <w:r>
        <w:t>Currículo municipal e sua adequação à Resolução CNE/CEB nº 2/2025 e à educação digital.</w:t>
      </w:r>
    </w:p>
    <w:p>
      <w:pPr>
        <w:pStyle w:val="ListBullet"/>
      </w:pPr>
      <w:r>
        <w:t>Plano ou registros de formação docente em educação digital (datas, público, conteúdos).</w:t>
      </w:r>
    </w:p>
    <w:p>
      <w:pPr>
        <w:pStyle w:val="ListBullet"/>
      </w:pPr>
      <w:r>
        <w:t>Orientações, ofícios e comunicados enviados às escolas sobre a PNED ou a educação digital.</w:t>
      </w:r>
    </w:p>
    <w:p>
      <w:pPr>
        <w:pStyle w:val="ListBullet"/>
      </w:pPr>
      <w:r>
        <w:t>Plano Municipal de Educação vigente e metas sobre tecnologia, campo e educação quilombola.</w:t>
      </w:r>
    </w:p>
    <w:p>
      <w:pPr>
        <w:pStyle w:val="ListBullet"/>
      </w:pPr>
      <w:r>
        <w:t>Lista de escolas por localidade, com classificação urbana ou rural, etapas e matrículas.</w:t>
      </w:r>
    </w:p>
    <w:p>
      <w:pPr>
        <w:pStyle w:val="ListBullet"/>
      </w:pPr>
      <w:r>
        <w:t>Documentos sobre educação escolar quilombola na rede, em especial na escola de Sibaúma.</w:t>
      </w:r>
    </w:p>
    <w:p>
      <w:pPr>
        <w:pStyle w:val="ListBullet"/>
      </w:pPr>
      <w:r>
        <w:t>Registros de aquisição de equipamentos e de conectividade por escola (inclusive o laboratório de 2022 da Domitila), contratos de manutenção, PIEC.</w:t>
      </w:r>
    </w:p>
    <w:p>
      <w:pPr>
        <w:pStyle w:val="ListBullet"/>
      </w:pPr>
      <w:r>
        <w:t>Se existirem: diagnósticos de conectividade e de competências digitais previstos na PNED.</w:t>
      </w:r>
    </w:p>
    <w:p>
      <w:pPr>
        <w:pStyle w:val="Heading2"/>
      </w:pPr>
      <w:r>
        <w:t>7.2 Em bases públicas</w:t>
      </w:r>
    </w:p>
    <w:p>
      <w:pPr>
        <w:pStyle w:val="ListBullet"/>
      </w:pPr>
      <w:r>
        <w:t>IBGE: população urbana e rural (Censo 2010 e 2022), população quilombola de 2022, setores censitários e localidades.</w:t>
      </w:r>
    </w:p>
    <w:p>
      <w:pPr>
        <w:pStyle w:val="ListBullet"/>
      </w:pPr>
      <w:r>
        <w:t>INEP: microdados do Censo Escolar por escola (localização, matrículas, infraestrutura, internet, laboratório) e IDEB da rede.</w:t>
      </w:r>
    </w:p>
    <w:p>
      <w:pPr>
        <w:pStyle w:val="ListBullet"/>
      </w:pPr>
      <w:r>
        <w:t>Fundação Cultural Palmares: certidão de Sibaúma.</w:t>
      </w:r>
    </w:p>
    <w:p>
      <w:pPr>
        <w:pStyle w:val="ListBullet"/>
      </w:pPr>
      <w:r>
        <w:t>Siconfi/Finbra: receita e gasto municipal em educação.</w:t>
      </w:r>
    </w:p>
    <w:p>
      <w:pPr>
        <w:pStyle w:val="ListBullet"/>
      </w:pPr>
      <w:r>
        <w:t>Repositório da UFRN: a dissertação de 2012 sobre a escola de Sibaúma e outros estudos sobre o município.</w:t>
      </w:r>
    </w:p>
    <w:p>
      <w:pPr>
        <w:pStyle w:val="Heading1"/>
      </w:pPr>
      <w:r>
        <w:t>8. Decisões que cabem à pesquisadora e à orientadora</w:t>
      </w:r>
    </w:p>
    <w:p>
      <w:pPr>
        <w:ind w:left="454" w:hanging="340"/>
      </w:pPr>
      <w:r>
        <w:t xml:space="preserve">1. </w:t>
      </w:r>
      <w:r>
        <w:t>Opção A (uma escola, com a rede analisada por documentos e dados) ou opção B (duas escolas, incluindo Sibaúma)?</w:t>
      </w:r>
    </w:p>
    <w:p>
      <w:pPr>
        <w:ind w:left="454" w:hanging="340"/>
      </w:pPr>
      <w:r>
        <w:t xml:space="preserve">2. </w:t>
      </w:r>
      <w:r>
        <w:t>Título: qual das opções, ou outra?</w:t>
      </w:r>
    </w:p>
    <w:p>
      <w:pPr>
        <w:ind w:left="454" w:hanging="340"/>
      </w:pPr>
      <w:r>
        <w:t xml:space="preserve">3. </w:t>
      </w:r>
      <w:r>
        <w:t>Ouvir só o técnico da SME ou também outra pessoa da gestão (secretária, coordenação pedagógica da rede)?</w:t>
      </w:r>
    </w:p>
    <w:p>
      <w:pPr>
        <w:ind w:left="454" w:hanging="340"/>
      </w:pPr>
      <w:r>
        <w:t xml:space="preserve">4. </w:t>
      </w:r>
      <w:r>
        <w:t>O capítulo do território vira dois (município e escola) ou um só reorganizado?</w:t>
      </w:r>
    </w:p>
    <w:p>
      <w:pPr>
        <w:ind w:left="454" w:hanging="340"/>
      </w:pPr>
      <w:r>
        <w:t xml:space="preserve">5. </w:t>
      </w:r>
      <w:r>
        <w:t>Emenda ao CEP: ainda não foi enviada. Antes do envio, ela precisa incluir a SME como instituição coparticipante, o técnico como participante e o roteiro da entrevista dele.</w:t>
      </w:r>
    </w:p>
    <w:p>
      <w:pPr>
        <w:pStyle w:val="Heading1"/>
      </w:pPr>
      <w:r>
        <w:t>9. Ordem de trabalho proposta</w:t>
      </w:r>
    </w:p>
    <w:p>
      <w:pPr>
        <w:ind w:left="454" w:hanging="340"/>
      </w:pPr>
      <w:r>
        <w:t xml:space="preserve">1. </w:t>
      </w:r>
      <w:r>
        <w:t>Fechar as decisões da seção 8 com a orientadora.</w:t>
      </w:r>
    </w:p>
    <w:p>
      <w:pPr>
        <w:ind w:left="454" w:hanging="340"/>
      </w:pPr>
      <w:r>
        <w:t xml:space="preserve">2. </w:t>
      </w:r>
      <w:r>
        <w:t>Revisar e corrigir a proposta de tese (projeto), a partir da minuta da seção 5.</w:t>
      </w:r>
    </w:p>
    <w:p>
      <w:pPr>
        <w:ind w:left="454" w:hanging="340"/>
      </w:pPr>
      <w:r>
        <w:t xml:space="preserve">3. </w:t>
      </w:r>
      <w:r>
        <w:t>Ajustar a emenda ao CEP e o roteiro de entrevista do técnico da SME.</w:t>
      </w:r>
    </w:p>
    <w:p>
      <w:pPr>
        <w:ind w:left="454" w:hanging="340"/>
      </w:pPr>
      <w:r>
        <w:t xml:space="preserve">4. </w:t>
      </w:r>
      <w:r>
        <w:t>Reunir os documentos da SME e os dados públicos da seção 7.</w:t>
      </w:r>
    </w:p>
    <w:p>
      <w:pPr>
        <w:ind w:left="454" w:hanging="340"/>
      </w:pPr>
      <w:r>
        <w:t xml:space="preserve">5. </w:t>
      </w:r>
      <w:r>
        <w:t>Reescrever a Introdução.</w:t>
      </w:r>
    </w:p>
    <w:p>
      <w:pPr>
        <w:ind w:left="454" w:hanging="340"/>
      </w:pPr>
      <w:r>
        <w:t xml:space="preserve">6. </w:t>
      </w:r>
      <w:r>
        <w:t>Revisar o cap. 4 (metodologia).</w:t>
      </w:r>
    </w:p>
    <w:p>
      <w:pPr>
        <w:ind w:left="454" w:hanging="340"/>
      </w:pPr>
      <w:r>
        <w:t xml:space="preserve">7. </w:t>
      </w:r>
      <w:r>
        <w:t>Revisar o cap. 3 (fundamentos).</w:t>
      </w:r>
    </w:p>
    <w:p>
      <w:pPr>
        <w:ind w:left="454" w:hanging="340"/>
      </w:pPr>
      <w:r>
        <w:t xml:space="preserve">8. </w:t>
      </w:r>
      <w:r>
        <w:t>Reorganizar o cap. 6 (do município à escola), com os dados já reunidos.</w:t>
      </w:r>
    </w:p>
    <w:p>
      <w:pPr>
        <w:ind w:left="454" w:hanging="340"/>
      </w:pPr>
      <w:r>
        <w:t xml:space="preserve">9. </w:t>
      </w:r>
      <w:r>
        <w:t>Ajustar o cap. 5 e a RSL.</w:t>
      </w:r>
    </w:p>
    <w:p>
      <w:pPr>
        <w:ind w:left="454" w:hanging="340"/>
      </w:pPr>
      <w:r>
        <w:t xml:space="preserve">10. </w:t>
      </w:r>
      <w:r>
        <w:t>Atualizar o sumário.</w:t>
      </w:r>
    </w:p>
    <w:p>
      <w:pPr>
        <w:ind w:left="454" w:hanging="340"/>
      </w:pPr>
      <w:r>
        <w:t xml:space="preserve">11. </w:t>
      </w:r>
      <w:r>
        <w:t>Refazer a apresentação, o roteiro de fala e os guias de estudo.</w:t>
      </w:r>
    </w:p>
    <w:p>
      <w:pPr>
        <w:pStyle w:val="Heading1"/>
      </w:pPr>
      <w:r>
        <w:t>Fontes consultadas na pesquisa</w:t>
      </w:r>
    </w:p>
    <w:p>
      <w:pPr>
        <w:pStyle w:val="ListBullet"/>
      </w:pPr>
      <w:r>
        <w:t>IBGE Cidades: https://www.ibge.gov.br/cidades-e-estados/rn/tibau-do-sul.html</w:t>
      </w:r>
    </w:p>
    <w:p>
      <w:pPr>
        <w:pStyle w:val="ListBullet"/>
      </w:pPr>
      <w:r>
        <w:t>IBGE, Divisão Territorial Brasileira: https://biblioteca.ibge.gov.br/visualizacao/dtb/riograndedonorte/tibaudosul.pdf</w:t>
      </w:r>
    </w:p>
    <w:p>
      <w:pPr>
        <w:pStyle w:val="ListBullet"/>
      </w:pPr>
      <w:r>
        <w:t>MPF/RN, peças arqueológicas do quilombo de Sibaúma: https://www.mpf.mp.br/o-mpf/unidades/pr-rn/noticias/pecas-arqueologicas-do-quilombo-de-sibauma-rn-sao-recuperadas-apos-mediacao-do-mpf</w:t>
      </w:r>
    </w:p>
    <w:p>
      <w:pPr>
        <w:pStyle w:val="ListBullet"/>
      </w:pPr>
      <w:r>
        <w:t>Dissertação UFRN sobre a Escola Padre Armando de Paiva: https://acervo.ufrn.br/Record/ri-123456789-14505</w:t>
      </w:r>
    </w:p>
    <w:p>
      <w:pPr>
        <w:pStyle w:val="ListBullet"/>
      </w:pPr>
      <w:r>
        <w:t>BDTD: https://bdtd.ibict.br/vufind/Record/UFRN_91dee0864af98a1a71c6b073099835b1</w:t>
      </w:r>
    </w:p>
    <w:p>
      <w:pPr>
        <w:pStyle w:val="ListBullet"/>
      </w:pPr>
      <w:r>
        <w:t>Escola Padre Armando de Paiva: https://www.escol.as/78418-em-padre-armando-de-paiva</w:t>
      </w:r>
    </w:p>
    <w:p>
      <w:pPr>
        <w:pStyle w:val="ListBullet"/>
      </w:pPr>
      <w:r>
        <w:t>Escola Municipal de Piau: https://www.escol.as/78415-em-de-piau</w:t>
      </w:r>
    </w:p>
    <w:p>
      <w:pPr>
        <w:pStyle w:val="ListBullet"/>
      </w:pPr>
      <w:r>
        <w:t>Wikivoyage, Tibau do Sul: https://en.wikivoyage.org/wiki/Tibau_do_Sul</w:t>
      </w:r>
    </w:p>
    <w:p>
      <w:pPr>
        <w:pStyle w:val="ListBullet"/>
      </w:pPr>
      <w:r>
        <w:t>IBGE, quilombolas no Censo 2022: https://agenciadenoticias.ibge.gov.br/en/agencia-news/37488-brazil-has-1-3-million-quilombolas-in-1-696-municipalities.html</w:t>
      </w:r>
    </w:p>
    <w:p>
      <w:pPr>
        <w:pStyle w:val="ListBullet"/>
      </w:pPr>
      <w:r>
        <w:t>Resolução CNE/CEB nº 8/2012: https://abmes.org.br/legislacoes/detalhe/1307/resolucao-cne-ceb-n-8</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49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