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(30 slides; 21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2893 palavras, cerca de 23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09:10; fim do slide 17 por volta de 15:25; fim do slide 25 por volta de 22:10.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05:45</w:t>
            </w:r>
          </w:p>
        </w:tc>
        <w:tc>
          <w:tcPr>
            <w:tcW w:type="dxa" w:w="2408"/>
          </w:tcPr>
          <w:p>
            <w:r>
              <w:t>06:40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09:10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11-14</w:t>
            </w:r>
          </w:p>
        </w:tc>
        <w:tc>
          <w:tcPr>
            <w:tcW w:type="dxa" w:w="2408"/>
          </w:tcPr>
          <w:p>
            <w:r>
              <w:t>04:15</w:t>
            </w:r>
          </w:p>
        </w:tc>
        <w:tc>
          <w:tcPr>
            <w:tcW w:type="dxa" w:w="2408"/>
          </w:tcPr>
          <w:p>
            <w:r>
              <w:t>13:25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15-17</w:t>
            </w:r>
          </w:p>
        </w:tc>
        <w:tc>
          <w:tcPr>
            <w:tcW w:type="dxa" w:w="2408"/>
          </w:tcPr>
          <w:p>
            <w:r>
              <w:t>02:00</w:t>
            </w:r>
          </w:p>
        </w:tc>
        <w:tc>
          <w:tcPr>
            <w:tcW w:type="dxa" w:w="2408"/>
          </w:tcPr>
          <w:p>
            <w:r>
              <w:t>15:25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18-21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19:15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22-25</w:t>
            </w:r>
          </w:p>
        </w:tc>
        <w:tc>
          <w:tcPr>
            <w:tcW w:type="dxa" w:w="2408"/>
          </w:tcPr>
          <w:p>
            <w:r>
              <w:t>02:55</w:t>
            </w:r>
          </w:p>
        </w:tc>
        <w:tc>
          <w:tcPr>
            <w:tcW w:type="dxa" w:w="2408"/>
          </w:tcPr>
          <w:p>
            <w:r>
              <w:t>22:10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26-28</w:t>
            </w:r>
          </w:p>
        </w:tc>
        <w:tc>
          <w:tcPr>
            <w:tcW w:type="dxa" w:w="2408"/>
          </w:tcPr>
          <w:p>
            <w:r>
              <w:t>02:50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29-30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25, 26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16, 17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3, 16, 23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60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60 s  ·  ao final: 02:55</w:t>
      </w:r>
    </w:p>
    <w:p>
      <w:r>
        <w:rPr>
          <w:i/>
          <w:color w:val="555555"/>
        </w:rPr>
        <w:t>[Ler a pergunta devagar, acompanhando a lâmina. Pausa antes da última frase.]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pesquisa. Como a Política Nacional de Educação Digital é recontextualizada pela Secretaria Municipal de Educação de Tibau do Sul, num território que reúne áreas urbanas e rurais, povoados com realidades distintas e uma comunidade quilombola, e como essa recontextualização chega à Escola Municipal Domitila Castelo da Silva, em Pipa, onde os profissionais a encenam, atravessados pelas culturas profissionais, pelas condições materiais e institucionais da escola e pelas especificidades do lugar? Ainda não sabemos se a PNED será acolhida, adaptada, posta de lado ou contestada. A resistência, que está no título, é uma possibilidade a examinar nos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Pergunta como a PNED é encenada e recontextualizada e como culturas profissionais, condições da escola e território atravessam esse processo, produzindo formas de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Citação opcional de Hall: </w:t>
      </w:r>
      <w:r>
        <w:t>"devem aprender a habitar, no mínimo, duas identidades, a falar duas linguagens culturais, a traduzir e a negociar entre elas" (HALL, 2006, p. 89). Hall trata de diáspora, não de política educacional: a aproximação com a encenação é nossa e precisa ser dita.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89), se a citação for usada.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105 s  ·  ao final: 04:40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60 s  ·  ao final: 06:40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09:10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10:45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12:05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80 s  ·  ao final: 13:25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15 · Divisor: Metodologia</w:t>
      </w:r>
    </w:p>
    <w:p>
      <w:r>
        <w:rPr>
          <w:color w:val="555555"/>
          <w:sz w:val="20"/>
        </w:rPr>
        <w:t>10 s  ·  ao final: 13:35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16 · Desenho e participantes</w:t>
      </w:r>
    </w:p>
    <w:p>
      <w:r>
        <w:rPr>
          <w:color w:val="555555"/>
          <w:sz w:val="20"/>
        </w:rPr>
        <w:t>55 s  ·  ao final: 14:30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17 · Construção dos dados</w:t>
      </w:r>
    </w:p>
    <w:p>
      <w:r>
        <w:rPr>
          <w:color w:val="555555"/>
          <w:sz w:val="20"/>
        </w:rPr>
        <w:t>55 s  ·  ao final: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18 · Divisor: Agenda global e PNED</w:t>
      </w:r>
    </w:p>
    <w:p>
      <w:r>
        <w:rPr>
          <w:color w:val="555555"/>
          <w:sz w:val="20"/>
        </w:rPr>
        <w:t>10 s  ·  ao final: 15:35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19 · O que outros territórios nos ensinam</w:t>
      </w:r>
    </w:p>
    <w:p>
      <w:r>
        <w:rPr>
          <w:color w:val="555555"/>
          <w:sz w:val="20"/>
        </w:rPr>
        <w:t>65 s  ·  ao final: 16:40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20 · O que a comparação traz para a tese</w:t>
      </w:r>
    </w:p>
    <w:p>
      <w:r>
        <w:rPr>
          <w:color w:val="555555"/>
          <w:sz w:val="20"/>
        </w:rPr>
        <w:t>70 s  ·  ao final: 17:50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21 · A PNED e o vazio material</w:t>
      </w:r>
    </w:p>
    <w:p>
      <w:r>
        <w:rPr>
          <w:color w:val="555555"/>
          <w:sz w:val="20"/>
        </w:rPr>
        <w:t>85 s  ·  ao final: 19:15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22 · Divisor: Do município à escola</w:t>
      </w:r>
    </w:p>
    <w:p>
      <w:r>
        <w:rPr>
          <w:color w:val="555555"/>
          <w:sz w:val="20"/>
        </w:rPr>
        <w:t>10 s  ·  ao final: 19:25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23 · Tibau do Sul</w:t>
      </w:r>
    </w:p>
    <w:p>
      <w:r>
        <w:rPr>
          <w:color w:val="555555"/>
          <w:sz w:val="20"/>
        </w:rPr>
        <w:t>70 s  ·  ao final: 20:35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24 · Pipa</w:t>
      </w:r>
    </w:p>
    <w:p>
      <w:r>
        <w:rPr>
          <w:color w:val="555555"/>
          <w:sz w:val="20"/>
        </w:rPr>
        <w:t>45 s  ·  ao final: 21:20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25 · A escola</w:t>
      </w:r>
    </w:p>
    <w:p>
      <w:r>
        <w:rPr>
          <w:color w:val="555555"/>
          <w:sz w:val="20"/>
        </w:rPr>
        <w:t>50 s  ·  ao final: 22:10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26 · Tese de partida e formulações</w:t>
      </w:r>
    </w:p>
    <w:p>
      <w:r>
        <w:rPr>
          <w:color w:val="555555"/>
          <w:sz w:val="20"/>
        </w:rPr>
        <w:t>85 s  ·  ao final: 23:35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27 · A questão aberta e os próximos passos</w:t>
      </w:r>
    </w:p>
    <w:p>
      <w:r>
        <w:rPr>
          <w:color w:val="555555"/>
          <w:sz w:val="20"/>
        </w:rPr>
        <w:t>70 s  ·  ao final: 24:45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Termino com a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 Para respondê-la, os próximos passos são submeter a emenda ao Comitê de Ética, com a Secretaria como coparticipante, realizar o campo em dez semanas, completar a análise documental, com os documentos já solicitados à direção da escola e ao técnico da Secretaria, e escrever o capítulo 7, incorporando as contribuições desta banca.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pPr>
        <w:pStyle w:val="ListBullet"/>
      </w:pPr>
      <w:r>
        <w:rPr>
          <w:b/>
        </w:rPr>
        <w:t xml:space="preserve">Próximos passos: </w:t>
      </w:r>
      <w:r>
        <w:t>Emenda ao CEP; campo; análise documental (documentos já solicitados à direção e ao técnico da Secretaria); capítulo 7.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28 · Agradecimento</w:t>
      </w:r>
    </w:p>
    <w:p>
      <w:r>
        <w:rPr>
          <w:color w:val="555555"/>
          <w:sz w:val="20"/>
        </w:rPr>
        <w:t>15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29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30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19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20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23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21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27):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