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(32 slides; 23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3099 palavras, cerca de 25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08:40; fim do slide 18 por volta de 15:15; fim do slide 26 por volta de 21:50.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05:15</w:t>
            </w:r>
          </w:p>
        </w:tc>
        <w:tc>
          <w:tcPr>
            <w:tcW w:type="dxa" w:w="2408"/>
          </w:tcPr>
          <w:p>
            <w:r>
              <w:t>06:10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08:40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11-15</w:t>
            </w:r>
          </w:p>
        </w:tc>
        <w:tc>
          <w:tcPr>
            <w:tcW w:type="dxa" w:w="2408"/>
          </w:tcPr>
          <w:p>
            <w:r>
              <w:t>04:45</w:t>
            </w:r>
          </w:p>
        </w:tc>
        <w:tc>
          <w:tcPr>
            <w:tcW w:type="dxa" w:w="2408"/>
          </w:tcPr>
          <w:p>
            <w:r>
              <w:t>13:25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16-18</w:t>
            </w:r>
          </w:p>
        </w:tc>
        <w:tc>
          <w:tcPr>
            <w:tcW w:type="dxa" w:w="2408"/>
          </w:tcPr>
          <w:p>
            <w:r>
              <w:t>01:50</w:t>
            </w:r>
          </w:p>
        </w:tc>
        <w:tc>
          <w:tcPr>
            <w:tcW w:type="dxa" w:w="2408"/>
          </w:tcPr>
          <w:p>
            <w:r>
              <w:t>15:15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19-22</w:t>
            </w:r>
          </w:p>
        </w:tc>
        <w:tc>
          <w:tcPr>
            <w:tcW w:type="dxa" w:w="2408"/>
          </w:tcPr>
          <w:p>
            <w:r>
              <w:t>03:55</w:t>
            </w:r>
          </w:p>
        </w:tc>
        <w:tc>
          <w:tcPr>
            <w:tcW w:type="dxa" w:w="2408"/>
          </w:tcPr>
          <w:p>
            <w:r>
              <w:t>19:10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23-26</w:t>
            </w:r>
          </w:p>
        </w:tc>
        <w:tc>
          <w:tcPr>
            <w:tcW w:type="dxa" w:w="2408"/>
          </w:tcPr>
          <w:p>
            <w:r>
              <w:t>02:40</w:t>
            </w:r>
          </w:p>
        </w:tc>
        <w:tc>
          <w:tcPr>
            <w:tcW w:type="dxa" w:w="2408"/>
          </w:tcPr>
          <w:p>
            <w:r>
              <w:t>21:50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27-30</w:t>
            </w:r>
          </w:p>
        </w:tc>
        <w:tc>
          <w:tcPr>
            <w:tcW w:type="dxa" w:w="2408"/>
          </w:tcPr>
          <w:p>
            <w:r>
              <w:t>03:10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31-32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1-32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26, 27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17, 18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3, 17, 24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55 s  ·  ao final: 02:45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questão, reduzida a pedido da orientadora, em cadeia como no infográfico: a PNED é recontextualizada e encenada pelos profissionais, da SME à escola de Pipa, atravessados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Questão revisada: </w:t>
      </w:r>
      <w:r>
        <w:t>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90 s  ·  ao final: 04:15</w:t>
      </w:r>
    </w:p>
    <w:p>
      <w:r>
        <w:rPr>
          <w:i/>
          <w:color w:val="555555"/>
        </w:rPr>
        <w:t>[Cada cartão tem um rótulo: do município a Pipa, interpretação, condições e território, formas de atuação e crianças. Destacar os verbos: analisar, compreender, examinar, identificar.]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 faz o caminho do município a Pipa: analisar a recontextualização da PNED pela Secretaria em planos, currículos, formações e orientações, considerando as especificidades das localidades, entre elas as áreas rurais e a comunidade quilombola de Sibaúma, até chegar a Pipa.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 e quatro específicos, em funil: do município a Pipa,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Do município a Pipa (obj. a): </w:t>
      </w:r>
      <w:r>
        <w:t>Analisar a recontextualização da PNED pela SME em planos, currículos, formações e orientações, considerando as localidades (áreas rurais, comunidade quilombola de Sibaúma), até chegar a Pipa. É onde a dimensão externa do contexto ganha fonte própria.</w:t>
      </w:r>
    </w:p>
    <w:p>
      <w:pPr>
        <w:pStyle w:val="ListBullet"/>
      </w:pPr>
      <w:r>
        <w:rPr>
          <w:b/>
        </w:rPr>
        <w:t xml:space="preserve">Interpretação (obj. b):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c):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e crianças (obj. d): </w:t>
      </w:r>
      <w:r>
        <w:t>Identificar as formas de atuação, da adesão à resistência, e suas implicações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Analisar, compreender, examinar, identificar: um verbo por objetivo.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Em que capítulo cada objetivo é respondido? (a: caps. 6 e 7; b, c, d: cap. 7 com as narrativas; Quadro 9 do cap. 4).</w:t>
      </w:r>
    </w:p>
    <w:p>
      <w:pPr>
        <w:pStyle w:val="ListBullet"/>
      </w:pPr>
      <w:r>
        <w:rPr>
          <w:i/>
        </w:rPr>
        <w:t>Por que o objetivo (a) não ouve outras escolas? (a rede entra por documentos, dados e o técnico da SME).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08:40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08:50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10:15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80 s  ·  ao final: 11:35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</w:t>
      </w:r>
    </w:p>
    <w:p>
      <w:r>
        <w:rPr>
          <w:color w:val="555555"/>
          <w:sz w:val="20"/>
        </w:rPr>
        <w:t>65 s  ·  ao final: 12:40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Território, lugar e a formulação própria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Habitar: </w:t>
      </w:r>
      <w:r>
        <w:t>"Tem o significado de estar presente" e "natureza relacional" (SCHLEMMER; BACKES; PALAGI, 2021, p. 15); Educação OnLIFE (p. 24); habitar como prática comunicativa (p. 17).</w:t>
      </w:r>
    </w:p>
    <w:p>
      <w:pPr>
        <w:pStyle w:val="ListBullet"/>
      </w:pPr>
      <w:r>
        <w:rPr>
          <w:b/>
        </w:rPr>
        <w:t xml:space="preserve">Habitar atópico e ecossistemas informativos: </w:t>
      </w:r>
      <w:r>
        <w:t>Habitar realizado por interfaces, em rede (DI FELICE, 2009, p. 20, citação indireta). Escrita artificial e "novo modo de habitar" (p. 102).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</w:t>
      </w:r>
    </w:p>
    <w:p>
      <w:pPr>
        <w:pStyle w:val="ListBullet"/>
      </w:pPr>
      <w:r>
        <w:rPr>
          <w:b/>
        </w:rPr>
        <w:t xml:space="preserve">Plataformas, dados e solucionismo: </w:t>
      </w:r>
      <w:r>
        <w:t>Capitalismo de vigilância (ZUBOFF, 2021, n. p.); privacidade como adversária do mercado de dados (SILVEIRA, 2017, p. 34); solucionismo (MOROZOV, 2018, p. 64, 88, 110); sujeitos como "produtores ativos de cultura" (PRETTO; CORDEIRO; OLIVEIRA, 2013, p. 35). Contexto teórico, sem virar categoria de análise; entra pelo Eixo 6 da entrevista.</w:t>
      </w:r>
    </w:p>
    <w:p>
      <w:r>
        <w:rPr>
          <w:b/>
        </w:rPr>
        <w:t xml:space="preserve">Autores e obras: </w:t>
      </w:r>
      <w:r>
        <w:t>Santos (1999; 2006); Massey (2008); Schlemmer, Backes e Palagi (2021); Di Felice (2009);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3, seções 3.6 e 3.6.1; Cap. 6, seção 6.4.2 (as formas de habitar o digital em Pipa).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sinônimo de inclusão digital? (não: vai além de acesso e posse, 3.6).</w:t>
      </w:r>
    </w:p>
    <w:p>
      <w:pPr>
        <w:pStyle w:val="Heading2"/>
      </w:pPr>
      <w:r>
        <w:t>Slide 15 · Conceitos e teóricos que guiam a tese</w:t>
      </w:r>
    </w:p>
    <w:p>
      <w:r>
        <w:rPr>
          <w:color w:val="555555"/>
          <w:sz w:val="20"/>
        </w:rPr>
        <w:t>45 s  ·  ao final: 13:25</w:t>
      </w:r>
    </w:p>
    <w:p>
      <w:r>
        <w:rPr>
          <w:i/>
          <w:color w:val="555555"/>
        </w:rPr>
        <w:t>[Apontar as quatro colunas da esquerda para a direita e, por fim, a faixa amarela.]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Reúno os conceitos e os autores que guiam a tese. A política é lida pelo ciclo de políticas, de Bowe, Ball e Gold, com Mainardes, e pela teoria da atuação de Ball, Maguire e Braun. Os profissionais, pelas culturas profissionais de Hargreaves, pela performatividade em Ball, pelo poder em Foucault e pelos sentidos em Hall. O território, por Milton Santos e Doreen Massey e pelo habitar em Schlemmer, Backes e Palagi. A cultura digital, pela crítica às plataformas e aos dados, com Zuboff, Silveira e Morozov, e pelos sujeitos como produtores de cultura, com Pretto. Daí nascem as três formulações da tese.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4479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47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Síntese do quadro teórico em quatro frentes (política, profissionais, território, cultura digital); só teóricos, sem leis nem documentos normativos, e as três formulações próprias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política: </w:t>
      </w:r>
      <w:r>
        <w:t>Ciclo de políticas (BOWE; BALL; GOLD, 1992; MAINARDES, 2006); atuação como interpretar e traduzir (BALL; MAGUIRE; BRAUN, 2016); recontextualização, a política "recriada" na prática (BOWE; BALL; GOLD, 1992, p. 22).</w:t>
      </w:r>
    </w:p>
    <w:p>
      <w:pPr>
        <w:pStyle w:val="ListBullet"/>
      </w:pPr>
      <w:r>
        <w:rPr>
          <w:b/>
        </w:rPr>
        <w:t xml:space="preserve">Os profissionais: </w:t>
      </w:r>
      <w:r>
        <w:t>Culturas profissionais (HARGREAVES, 2005); performatividade e fabricação (BALL, 2002; 2008); poder e resistência (FOUCAULT, 1999; BALL, 2011; FREIRE, 2019); sentidos que organizam ações (HALL, 2006).</w:t>
      </w:r>
    </w:p>
    <w:p>
      <w:pPr>
        <w:pStyle w:val="ListBullet"/>
      </w:pPr>
      <w:r>
        <w:rPr>
          <w:b/>
        </w:rPr>
        <w:t xml:space="preserve">O território: </w:t>
      </w:r>
      <w:r>
        <w:t>Território usado e rugosidades (SANTOS, 1999; 2006; 2012); lugar como encontro de trajetórias (MASSEY, 2008); habitar e Educação OnLIFE (SCHLEMMER; BACKES; PALAGI, 2021; DI FELICE, 2009).</w:t>
      </w:r>
    </w:p>
    <w:p>
      <w:pPr>
        <w:pStyle w:val="ListBullet"/>
      </w:pPr>
      <w:r>
        <w:rPr>
          <w:b/>
        </w:rPr>
        <w:t xml:space="preserve">A cultura digital: </w:t>
      </w:r>
      <w:r>
        <w:t>Contexto das tecnologias digitais, sem virar categoria de análise: capitalismo de vigilância (ZUBOFF, 2021) e dados pessoais (SILVEIRA, 2017); solucionismo (MOROZOV, 2018); sujeitos como produtores de cultura (PRETTO; CORDEIRO; OLIVEIRA, 2013). Entra no campo pelo Eixo 6 da entrevista.</w:t>
      </w:r>
    </w:p>
    <w:p>
      <w:pPr>
        <w:pStyle w:val="ListBullet"/>
      </w:pPr>
      <w:r>
        <w:rPr>
          <w:b/>
        </w:rPr>
        <w:t xml:space="preserve">Formulações da tese: </w:t>
      </w:r>
      <w:r>
        <w:t>Habitar o digital (cap. 3), rugosidade tecnológica (cap. 6) e vazio material (cap. 5).</w:t>
      </w:r>
    </w:p>
    <w:p>
      <w:r>
        <w:rPr>
          <w:b/>
        </w:rPr>
        <w:t xml:space="preserve">Autores e obras: </w:t>
      </w:r>
      <w:r>
        <w:t>Os mesmos autores dos slides 12 a 14, reunidos. A ONU (2021) e as normas ficam fora deste slide por não serem referenciais teóricos; as crianças aparecem nos slides 5, 6 e 28.</w:t>
      </w:r>
    </w:p>
    <w:p>
      <w:r>
        <w:rPr>
          <w:b/>
        </w:rPr>
        <w:t xml:space="preserve">Onde aprofundar: </w:t>
      </w:r>
      <w:r>
        <w:t>Cap. 3, seções 3.1 a 3.6.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autores de tradições diferentes conversam na tese? (o ciclo de políticas organiza; a atuação explica o contexto da prática; o território situa; os direitos das crianças dão o critério de leitura).</w:t>
      </w:r>
    </w:p>
    <w:p>
      <w:pPr>
        <w:pStyle w:val="ListBullet"/>
      </w:pPr>
      <w:r>
        <w:rPr>
          <w:i/>
        </w:rPr>
        <w:t>Por que Hall aparece entre os teóricos? (sentidos que organizam ações; aproximação declarada, slide 4).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16 · Divisor: Metodologia</w:t>
      </w:r>
    </w:p>
    <w:p>
      <w:r>
        <w:rPr>
          <w:color w:val="555555"/>
          <w:sz w:val="20"/>
        </w:rPr>
        <w:t>10 s  ·  ao final: 13:35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17 · Desenho e participantes</w:t>
      </w:r>
    </w:p>
    <w:p>
      <w:r>
        <w:rPr>
          <w:color w:val="555555"/>
          <w:sz w:val="20"/>
        </w:rPr>
        <w:t>50 s  ·  ao final: 14:25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18 · Construção dos dados</w:t>
      </w:r>
    </w:p>
    <w:p>
      <w:r>
        <w:rPr>
          <w:color w:val="555555"/>
          <w:sz w:val="20"/>
        </w:rPr>
        <w:t>50 s  ·  ao final: 15:15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19 · Divisor: Agenda global e PNED</w:t>
      </w:r>
    </w:p>
    <w:p>
      <w:r>
        <w:rPr>
          <w:color w:val="555555"/>
          <w:sz w:val="20"/>
        </w:rPr>
        <w:t>10 s  ·  ao final: 15:25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20 · O que outros territórios nos ensinam</w:t>
      </w:r>
    </w:p>
    <w:p>
      <w:r>
        <w:rPr>
          <w:color w:val="555555"/>
          <w:sz w:val="20"/>
        </w:rPr>
        <w:t>65 s  ·  ao final: 16:30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21 · O que a comparação traz para a tese</w:t>
      </w:r>
    </w:p>
    <w:p>
      <w:r>
        <w:rPr>
          <w:color w:val="555555"/>
          <w:sz w:val="20"/>
        </w:rPr>
        <w:t>75 s  ·  ao final: 17:45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22 · A PNED e o vazio material</w:t>
      </w:r>
    </w:p>
    <w:p>
      <w:r>
        <w:rPr>
          <w:color w:val="555555"/>
          <w:sz w:val="20"/>
        </w:rPr>
        <w:t>85 s  ·  ao final: 19:10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23 · Divisor: Do município à escola</w:t>
      </w:r>
    </w:p>
    <w:p>
      <w:r>
        <w:rPr>
          <w:color w:val="555555"/>
          <w:sz w:val="20"/>
        </w:rPr>
        <w:t>10 s  ·  ao final: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24 · Tibau do Sul</w:t>
      </w:r>
    </w:p>
    <w:p>
      <w:r>
        <w:rPr>
          <w:color w:val="555555"/>
          <w:sz w:val="20"/>
        </w:rPr>
        <w:t>65 s  ·  ao final: 20:25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(objetivo 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25 · Pipa</w:t>
      </w:r>
    </w:p>
    <w:p>
      <w:r>
        <w:rPr>
          <w:color w:val="555555"/>
          <w:sz w:val="20"/>
        </w:rPr>
        <w:t>35 s  ·  ao final: 21:00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26 · A escola</w:t>
      </w:r>
    </w:p>
    <w:p>
      <w:r>
        <w:rPr>
          <w:color w:val="555555"/>
          <w:sz w:val="20"/>
        </w:rPr>
        <w:t>50 s  ·  ao final: 21:50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27 · Tese de partida e formulações</w:t>
      </w:r>
    </w:p>
    <w:p>
      <w:r>
        <w:rPr>
          <w:color w:val="555555"/>
          <w:sz w:val="20"/>
        </w:rPr>
        <w:t>75 s  ·  ao final: 23:05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28 · A questão aberta</w:t>
      </w:r>
    </w:p>
    <w:p>
      <w:r>
        <w:rPr>
          <w:color w:val="555555"/>
          <w:sz w:val="20"/>
        </w:rPr>
        <w:t>35 s  ·  ao final: 23:40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29 · O que foi feito e o que falta fazer</w:t>
      </w:r>
    </w:p>
    <w:p>
      <w:r>
        <w:rPr>
          <w:color w:val="555555"/>
          <w:sz w:val="20"/>
        </w:rPr>
        <w:t>70 s  ·  ao final: 24:50</w:t>
      </w:r>
    </w:p>
    <w:p>
      <w:r>
        <w:rPr>
          <w:i/>
          <w:color w:val="555555"/>
        </w:rPr>
        <w:t>[Ler o cartão da esquerda e depois o da direita; não ler os números do CEP em voz alta.]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778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Balanço do percurso, pedido pela orientadora: o que já foi cumprido e o que falta até a defesa.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Feito: </w:t>
      </w:r>
      <w:r>
        <w:t>Componentes curriculares: 315 h de 330 h integralizadas (histórico de 25/08/2026); proficiência em espanhol; aprovação no CEP (Parecer nº 8.038.332; CAAE 91393625.4.0000.5292); texto de qualificação; registro iconográfico; documentos solicitados à direção e à SME; produção em eventos (ConWiTE 2024 e 2026, ConBAlf 2025, V Colóquio de Políticas Educacionais 2025).</w:t>
      </w:r>
    </w:p>
    <w:p>
      <w:pPr>
        <w:pStyle w:val="ListBullet"/>
      </w:pPr>
      <w:r>
        <w:rPr>
          <w:b/>
        </w:rPr>
        <w:t xml:space="preserve">Falta fazer: </w:t>
      </w:r>
      <w:r>
        <w:t>Emenda ao CEP (SME coparticipante e projeto atualizado à PNED); campo em dez semanas; transcrição, análise temática reflexiva e devolutiva; capítulo 7, revisão e considerações finais; Seminário de Formação Doutoral II e Seminário de Pesquisa IV (matriculados); proficiência em inglês; artigos; depósito e defesa.</w:t>
      </w:r>
    </w:p>
    <w:p>
      <w:pPr>
        <w:pStyle w:val="ListBullet"/>
      </w:pPr>
      <w:r>
        <w:rPr>
          <w:b/>
        </w:rPr>
        <w:t xml:space="preserve">Por que a emenda: </w:t>
      </w:r>
      <w:r>
        <w:t>O projeto aprovado no CEP tem o título anterior, sobre a Política de Inovação Educação Conectada (PIEC); a emenda alinha o protocolo ao objeto atual e inclui a SME como coparticipante.</w:t>
      </w:r>
    </w:p>
    <w:p>
      <w:r>
        <w:rPr>
          <w:b/>
        </w:rPr>
        <w:t xml:space="preserve">Autores e obras: </w:t>
      </w:r>
      <w:r>
        <w:t>Relatório de atividades da licença para estudos (23/09/2026); Histórico escolar SIGAA (25/08/2026); Parecer consubstanciado do CEP nº 8.038.332.</w:t>
      </w:r>
    </w:p>
    <w:p>
      <w:r>
        <w:rPr>
          <w:b/>
        </w:rPr>
        <w:t xml:space="preserve">Onde aprofundar: </w:t>
      </w:r>
      <w:r>
        <w:t>Cap. 4, seções 4.4 e 4.5.4 (cronograma).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 campo ainda não começou? (depende da emenda ao CEP, com a SME coparticipante).</w:t>
      </w:r>
    </w:p>
    <w:p>
      <w:pPr>
        <w:pStyle w:val="ListBullet"/>
      </w:pPr>
      <w:r>
        <w:rPr>
          <w:i/>
        </w:rPr>
        <w:t>Qual é o prazo? (o histórico registra prazo padrão de conclusão em fev. 2027; confirmar o cronograma com a orientadora).</w:t>
      </w:r>
    </w:p>
    <w:p>
      <w:r>
        <w:rPr>
          <w:b/>
          <w:color w:val="B03A2E"/>
        </w:rPr>
        <w:t xml:space="preserve">Cuidado: </w:t>
      </w:r>
      <w:r>
        <w:t>A conferir: o relatório de 23/09/2026 lista apenas os capítulos 1, 5 e 6 em primeira versão; o slide diz que o texto de qualificação reúne também RSL, fundamentos e metodologia. Ajustar se não for o caso.</w:t>
      </w:r>
    </w:p>
    <w:p>
      <w:pPr>
        <w:pStyle w:val="Heading2"/>
      </w:pPr>
      <w:r>
        <w:t>Slide 30 · Agradecimento</w:t>
      </w:r>
    </w:p>
    <w:p>
      <w:r>
        <w:rPr>
          <w:color w:val="555555"/>
          <w:sz w:val="20"/>
        </w:rPr>
        <w:t>10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31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32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20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21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24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22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28):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