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no sentido da reflexividade que Braun e Clarke (2019) pedem a quem analisa,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 xml:space="preserve">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Espaço e método, o autor reforça essa leitura ao afirmar que “o passado técnico da forma é uma realidade a ser levada em consideração quando se tenta analisar o espaço” (SANTOS, 2012, p. 73).</w:t>
      </w:r>
      <w:r w:rsidRPr="002A5A49">
        <w:rPr>
          <w:i/>
          <w:lang w:val="pt-BR"/>
        </w:rPr>
        <w:t xml:space="preserve"/>
      </w:r>
      <w:r w:rsidRPr="002A5A49">
        <w:rPr>
          <w:lang w:val="pt-BR"/>
        </w:rPr>
        <w:t xml:space="preserve"/>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Schlemmer et al. (2021), o capítulo de abertura, assinado por Schlemmer, Backes e Palagi, lembra que habitar “tem o significado de estar presente” e que o habitar, “além de estar acompanhado do movimento, tem uma natureza relacional” (SCHLEMMER; BACKES; PALAGI, 2021, p. 15). Ele aparece como experiência constituída pelas relações entre sujeitos, ambientes, tecnologias e redes. As autoras chamam de Educação OnLIFE</w:t>
      </w:r>
      <w:proofErr w:type="spellStart"/>
      <w:r w:rsidRPr="002A5A49">
        <w:rPr>
          <w:lang w:val="pt-BR"/>
        </w:rPr>
        <w:t xml:space="preserve"/>
      </w:r>
      <w:proofErr w:type="spellEnd"/>
      <w:r w:rsidRPr="002A5A49">
        <w:rPr>
          <w:lang w:val="pt-BR"/>
        </w:rPr>
        <w:t xml:space="preserve"/>
      </w:r>
      <w:r w:rsidRPr="002A5A49">
        <w:rPr>
          <w:i/>
          <w:lang w:val="pt-BR"/>
        </w:rPr>
        <w:t xml:space="preserve"/>
      </w:r>
      <w:r w:rsidRPr="002A5A49">
        <w:rPr>
          <w:lang w:val="pt-BR"/>
        </w:rPr>
        <w:t xml:space="preserve"> “uma educação transubstanciada e cibricidadã, ligada, conectada (On) na vida (LIFE), a partir de problematizações que emergem do tempo presente, nessa realidade hiperconectada” (SCHLEMMER; BACKES; PALAGI, 2021, p. 24).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Ao tratar da imprensa, por exemplo, afirma que “a invenção da escrita artificial coincide, de fato, com o surgimento de uma espacialidade artificial que marcará sobremaneira a Renascença e inaugurará um novo modo de habitar” (DI FELICE, 2009, p. 102). Com as redes digitais, o autor descreve um habitar atópico, em que a experiência habitativa passa a envolver interfaces, fluxos informativos e relações que não se reduzem ao espaço físico. Esse habitar só se realiza por meio de interações com interfaces e constitui ecossistemas informativos, “ambientes atravessáveis somente mediante formas de interações técnicas” (DI FELICE, 2009, p. 20 apud MARCHESI, [2010]), nos quais sujeito e território se relacionam em rede (MARCHESI, [2010]).</w:t>
      </w:r>
      <w:proofErr w:type="spellStart"/>
      <w:r w:rsidRPr="002A5A49">
        <w:rPr>
          <w:lang w:val="pt-BR"/>
        </w:rPr>
        <w:t xml:space="preserve"/>
      </w:r>
      <w:proofErr w:type="spellEnd"/>
      <w:r w:rsidRPr="002A5A49">
        <w:rPr>
          <w:lang w:val="pt-BR"/>
        </w:rPr>
        <w:t xml:space="preserve">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Vigiar e punir,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por isso pode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both"/>
        <w:rPr>
          <w:lang w:val="pt-BR"/>
        </w:rPr>
      </w:pPr>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727C3944"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proofErr w:type="spellStart"/>
      <w:proofErr w:type="spellEnd"/>
      <w:r w:rsidRPr="002A5A49">
        <w:rPr>
          <w:lang w:val="pt-BR"/>
        </w:rPr>
        <w:t xml:space="preserve">MARCHESI, Mariana. Ambiente, mídia e técnica: um passeio pelas paisagens pós-urbanas de Massimo Di Felice. </w:t>
      </w:r>
      <w:r w:rsidRPr="002A5A49">
        <w:rPr>
          <w:lang w:val="pt-BR"/>
          <w:b/>
        </w:rPr>
        <w:t xml:space="preserve">Rumores</w:t>
      </w:r>
      <w:r w:rsidRPr="002A5A49">
        <w:rPr>
          <w:lang w:val="pt-BR"/>
        </w:rPr>
        <w:t xml:space="preserve">, São Paulo, n. 8, [2010]. Resenha de: DI FELICE, Massimo. Paisagens pós-urbanas: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