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Roteiro de fala – Qualificação de doutorado</w:t>
      </w:r>
    </w:p>
    <w:p>
      <w:r>
        <w:t>Tese: A política no canteiro da prática. Pesquisadora: Yzynya Silva Rezende Machado. Orientadora: Dra. Maria Cristina Leandro de Paiva.</w:t>
      </w:r>
    </w:p>
    <w:p>
      <w:r>
        <w:t>Como usar: o texto está em registro formal e explicativo, adequado à banca de qualificação; recomenda-se ensaiá-lo até que possa ser dito com naturalidade. Os tempos foram calculados a 120 palavras por minuto, mais 2 segundos por troca de slide; o total previsto é de cerca de 20 minutos. Os slides de abertura de parte (5, 21, 23, 26, 34 e 42) são de passagem rápida. Se precisar de mais folga, os slides 18, 19, 20 e 30 podem ser encurtados.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Slide</w:t>
            </w:r>
          </w:p>
        </w:tc>
        <w:tc>
          <w:tcPr>
            <w:tcW w:type="dxa" w:w="2351"/>
          </w:tcPr>
          <w:p>
            <w:r>
              <w:t>Título</w:t>
            </w:r>
          </w:p>
        </w:tc>
        <w:tc>
          <w:tcPr>
            <w:tcW w:type="dxa" w:w="2351"/>
          </w:tcPr>
          <w:p>
            <w:r>
              <w:t>Tempo</w:t>
            </w:r>
          </w:p>
        </w:tc>
        <w:tc>
          <w:tcPr>
            <w:tcW w:type="dxa" w:w="2351"/>
          </w:tcPr>
          <w:p>
            <w:r>
              <w:t>Acumulado</w:t>
            </w:r>
          </w:p>
        </w:tc>
      </w:tr>
      <w:tr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Apresentação do tema</w:t>
            </w:r>
          </w:p>
        </w:tc>
        <w:tc>
          <w:tcPr>
            <w:tcW w:type="dxa" w:w="2351"/>
          </w:tcPr>
          <w:p>
            <w:r>
              <w:t>1:02</w:t>
            </w:r>
          </w:p>
        </w:tc>
        <w:tc>
          <w:tcPr>
            <w:tcW w:type="dxa" w:w="2351"/>
          </w:tcPr>
          <w:p>
            <w:r>
              <w:t>1:02</w:t>
            </w:r>
          </w:p>
        </w:tc>
      </w:tr>
      <w:tr>
        <w:tc>
          <w:tcPr>
            <w:tcW w:type="dxa" w:w="2351"/>
          </w:tcPr>
          <w:p>
            <w:r>
              <w:t>2</w:t>
            </w:r>
          </w:p>
        </w:tc>
        <w:tc>
          <w:tcPr>
            <w:tcW w:type="dxa" w:w="2351"/>
          </w:tcPr>
          <w:p>
            <w:r>
              <w:t>Percurso da apresentação</w:t>
            </w:r>
          </w:p>
        </w:tc>
        <w:tc>
          <w:tcPr>
            <w:tcW w:type="dxa" w:w="2351"/>
          </w:tcPr>
          <w:p>
            <w:r>
              <w:t>0:18</w:t>
            </w:r>
          </w:p>
        </w:tc>
        <w:tc>
          <w:tcPr>
            <w:tcW w:type="dxa" w:w="2351"/>
          </w:tcPr>
          <w:p>
            <w:r>
              <w:t>1:20</w:t>
            </w:r>
          </w:p>
        </w:tc>
      </w:tr>
      <w:tr>
        <w:tc>
          <w:tcPr>
            <w:tcW w:type="dxa" w:w="2351"/>
          </w:tcPr>
          <w:p>
            <w:r>
              <w:t>3</w:t>
            </w:r>
          </w:p>
        </w:tc>
        <w:tc>
          <w:tcPr>
            <w:tcW w:type="dxa" w:w="2351"/>
          </w:tcPr>
          <w:p>
            <w:r>
              <w:t>Minha trajetória associada à pesquisa</w:t>
            </w:r>
          </w:p>
        </w:tc>
        <w:tc>
          <w:tcPr>
            <w:tcW w:type="dxa" w:w="2351"/>
          </w:tcPr>
          <w:p>
            <w:r>
              <w:t>1:18</w:t>
            </w:r>
          </w:p>
        </w:tc>
        <w:tc>
          <w:tcPr>
            <w:tcW w:type="dxa" w:w="2351"/>
          </w:tcPr>
          <w:p>
            <w:r>
              <w:t>2:38</w:t>
            </w:r>
          </w:p>
        </w:tc>
      </w:tr>
      <w:tr>
        <w:tc>
          <w:tcPr>
            <w:tcW w:type="dxa" w:w="2351"/>
          </w:tcPr>
          <w:p>
            <w:r>
              <w:t>4</w:t>
            </w:r>
          </w:p>
        </w:tc>
        <w:tc>
          <w:tcPr>
            <w:tcW w:type="dxa" w:w="2351"/>
          </w:tcPr>
          <w:p>
            <w:r>
              <w:t>Relevâncias da pesquisa</w:t>
            </w:r>
          </w:p>
        </w:tc>
        <w:tc>
          <w:tcPr>
            <w:tcW w:type="dxa" w:w="2351"/>
          </w:tcPr>
          <w:p>
            <w:r>
              <w:t>1:24</w:t>
            </w:r>
          </w:p>
        </w:tc>
        <w:tc>
          <w:tcPr>
            <w:tcW w:type="dxa" w:w="2351"/>
          </w:tcPr>
          <w:p>
            <w:r>
              <w:t>4:02</w:t>
            </w:r>
          </w:p>
        </w:tc>
      </w:tr>
      <w:tr>
        <w:tc>
          <w:tcPr>
            <w:tcW w:type="dxa" w:w="2351"/>
          </w:tcPr>
          <w:p>
            <w:r>
              <w:t>5</w:t>
            </w:r>
          </w:p>
        </w:tc>
        <w:tc>
          <w:tcPr>
            <w:tcW w:type="dxa" w:w="2351"/>
          </w:tcPr>
          <w:p>
            <w:r>
              <w:t>Parte I – A proposta da tese</w:t>
            </w:r>
          </w:p>
        </w:tc>
        <w:tc>
          <w:tcPr>
            <w:tcW w:type="dxa" w:w="2351"/>
          </w:tcPr>
          <w:p>
            <w:r>
              <w:t>0:07</w:t>
            </w:r>
          </w:p>
        </w:tc>
        <w:tc>
          <w:tcPr>
            <w:tcW w:type="dxa" w:w="2351"/>
          </w:tcPr>
          <w:p>
            <w:r>
              <w:t>4:09</w:t>
            </w:r>
          </w:p>
        </w:tc>
      </w:tr>
      <w:tr>
        <w:tc>
          <w:tcPr>
            <w:tcW w:type="dxa" w:w="2351"/>
          </w:tcPr>
          <w:p>
            <w:r>
              <w:t>6</w:t>
            </w:r>
          </w:p>
        </w:tc>
        <w:tc>
          <w:tcPr>
            <w:tcW w:type="dxa" w:w="2351"/>
          </w:tcPr>
          <w:p>
            <w:r>
              <w:t>Estrutura da tese</w:t>
            </w:r>
          </w:p>
        </w:tc>
        <w:tc>
          <w:tcPr>
            <w:tcW w:type="dxa" w:w="2351"/>
          </w:tcPr>
          <w:p>
            <w:r>
              <w:t>0:12</w:t>
            </w:r>
          </w:p>
        </w:tc>
        <w:tc>
          <w:tcPr>
            <w:tcW w:type="dxa" w:w="2351"/>
          </w:tcPr>
          <w:p>
            <w:r>
              <w:t>4:21</w:t>
            </w:r>
          </w:p>
        </w:tc>
      </w:tr>
      <w:tr>
        <w:tc>
          <w:tcPr>
            <w:tcW w:type="dxa" w:w="2351"/>
          </w:tcPr>
          <w:p>
            <w:r>
              <w:t>7</w:t>
            </w:r>
          </w:p>
        </w:tc>
        <w:tc>
          <w:tcPr>
            <w:tcW w:type="dxa" w:w="2351"/>
          </w:tcPr>
          <w:p>
            <w:r>
              <w:t>A tese em uma imagem: o vazio material</w:t>
            </w:r>
          </w:p>
        </w:tc>
        <w:tc>
          <w:tcPr>
            <w:tcW w:type="dxa" w:w="2351"/>
          </w:tcPr>
          <w:p>
            <w:r>
              <w:t>1:43</w:t>
            </w:r>
          </w:p>
        </w:tc>
        <w:tc>
          <w:tcPr>
            <w:tcW w:type="dxa" w:w="2351"/>
          </w:tcPr>
          <w:p>
            <w:r>
              <w:t>6:04</w:t>
            </w:r>
          </w:p>
        </w:tc>
      </w:tr>
      <w:tr>
        <w:tc>
          <w:tcPr>
            <w:tcW w:type="dxa" w:w="2351"/>
          </w:tcPr>
          <w:p>
            <w:r>
              <w:t>8</w:t>
            </w:r>
          </w:p>
        </w:tc>
        <w:tc>
          <w:tcPr>
            <w:tcW w:type="dxa" w:w="2351"/>
          </w:tcPr>
          <w:p>
            <w:r>
              <w:t>O objeto e o recorte</w:t>
            </w:r>
          </w:p>
        </w:tc>
        <w:tc>
          <w:tcPr>
            <w:tcW w:type="dxa" w:w="2351"/>
          </w:tcPr>
          <w:p>
            <w:r>
              <w:t>1:45</w:t>
            </w:r>
          </w:p>
        </w:tc>
        <w:tc>
          <w:tcPr>
            <w:tcW w:type="dxa" w:w="2351"/>
          </w:tcPr>
          <w:p>
            <w:r>
              <w:t>7:49</w:t>
            </w:r>
          </w:p>
        </w:tc>
      </w:tr>
      <w:tr>
        <w:tc>
          <w:tcPr>
            <w:tcW w:type="dxa" w:w="2351"/>
          </w:tcPr>
          <w:p>
            <w:r>
              <w:t>9</w:t>
            </w:r>
          </w:p>
        </w:tc>
        <w:tc>
          <w:tcPr>
            <w:tcW w:type="dxa" w:w="2351"/>
          </w:tcPr>
          <w:p>
            <w:r>
              <w:t>Justificativa</w:t>
            </w:r>
          </w:p>
        </w:tc>
        <w:tc>
          <w:tcPr>
            <w:tcW w:type="dxa" w:w="2351"/>
          </w:tcPr>
          <w:p>
            <w:r>
              <w:t>2:28</w:t>
            </w:r>
          </w:p>
        </w:tc>
        <w:tc>
          <w:tcPr>
            <w:tcW w:type="dxa" w:w="2351"/>
          </w:tcPr>
          <w:p>
            <w:r>
              <w:t>10:17</w:t>
            </w:r>
          </w:p>
        </w:tc>
      </w:tr>
      <w:tr>
        <w:tc>
          <w:tcPr>
            <w:tcW w:type="dxa" w:w="2351"/>
          </w:tcPr>
          <w:p>
            <w:r>
              <w:t>10</w:t>
            </w:r>
          </w:p>
        </w:tc>
        <w:tc>
          <w:tcPr>
            <w:tcW w:type="dxa" w:w="2351"/>
          </w:tcPr>
          <w:p>
            <w:r>
              <w:t>Problematização: do portão para fora, do portão para dentro</w:t>
            </w:r>
          </w:p>
        </w:tc>
        <w:tc>
          <w:tcPr>
            <w:tcW w:type="dxa" w:w="2351"/>
          </w:tcPr>
          <w:p>
            <w:r>
              <w:t>0:18</w:t>
            </w:r>
          </w:p>
        </w:tc>
        <w:tc>
          <w:tcPr>
            <w:tcW w:type="dxa" w:w="2351"/>
          </w:tcPr>
          <w:p>
            <w:r>
              <w:t>10:35</w:t>
            </w:r>
          </w:p>
        </w:tc>
      </w:tr>
      <w:tr>
        <w:tc>
          <w:tcPr>
            <w:tcW w:type="dxa" w:w="2351"/>
          </w:tcPr>
          <w:p>
            <w:r>
              <w:t>11</w:t>
            </w:r>
          </w:p>
        </w:tc>
        <w:tc>
          <w:tcPr>
            <w:tcW w:type="dxa" w:w="2351"/>
          </w:tcPr>
          <w:p>
            <w:r>
              <w:t>Problematização: há conexão, faltam computadores e tempo</w:t>
            </w:r>
          </w:p>
        </w:tc>
        <w:tc>
          <w:tcPr>
            <w:tcW w:type="dxa" w:w="2351"/>
          </w:tcPr>
          <w:p>
            <w:r>
              <w:t>1:46</w:t>
            </w:r>
          </w:p>
        </w:tc>
        <w:tc>
          <w:tcPr>
            <w:tcW w:type="dxa" w:w="2351"/>
          </w:tcPr>
          <w:p>
            <w:r>
              <w:t>12:21</w:t>
            </w:r>
          </w:p>
        </w:tc>
      </w:tr>
      <w:tr>
        <w:tc>
          <w:tcPr>
            <w:tcW w:type="dxa" w:w="2351"/>
          </w:tcPr>
          <w:p>
            <w:r>
              <w:t>12</w:t>
            </w:r>
          </w:p>
        </w:tc>
        <w:tc>
          <w:tcPr>
            <w:tcW w:type="dxa" w:w="2351"/>
          </w:tcPr>
          <w:p>
            <w:r>
              <w:t>Questão norteadora e objetivos</w:t>
            </w:r>
          </w:p>
        </w:tc>
        <w:tc>
          <w:tcPr>
            <w:tcW w:type="dxa" w:w="2351"/>
          </w:tcPr>
          <w:p>
            <w:r>
              <w:t>0:22</w:t>
            </w:r>
          </w:p>
        </w:tc>
        <w:tc>
          <w:tcPr>
            <w:tcW w:type="dxa" w:w="2351"/>
          </w:tcPr>
          <w:p>
            <w:r>
              <w:t>12:43</w:t>
            </w:r>
          </w:p>
        </w:tc>
      </w:tr>
      <w:tr>
        <w:tc>
          <w:tcPr>
            <w:tcW w:type="dxa" w:w="2351"/>
          </w:tcPr>
          <w:p>
            <w:r>
              <w:t>13</w:t>
            </w:r>
          </w:p>
        </w:tc>
        <w:tc>
          <w:tcPr>
            <w:tcW w:type="dxa" w:w="2351"/>
          </w:tcPr>
          <w:p>
            <w:r>
              <w:t>Contribuição inédita: discricionariedade substitutiva</w:t>
            </w:r>
          </w:p>
        </w:tc>
        <w:tc>
          <w:tcPr>
            <w:tcW w:type="dxa" w:w="2351"/>
          </w:tcPr>
          <w:p>
            <w:r>
              <w:t>1:24</w:t>
            </w:r>
          </w:p>
        </w:tc>
        <w:tc>
          <w:tcPr>
            <w:tcW w:type="dxa" w:w="2351"/>
          </w:tcPr>
          <w:p>
            <w:r>
              <w:t>14:07</w:t>
            </w:r>
          </w:p>
        </w:tc>
      </w:tr>
      <w:tr>
        <w:tc>
          <w:tcPr>
            <w:tcW w:type="dxa" w:w="2351"/>
          </w:tcPr>
          <w:p>
            <w:r>
              <w:t>14</w:t>
            </w:r>
          </w:p>
        </w:tc>
        <w:tc>
          <w:tcPr>
            <w:tcW w:type="dxa" w:w="2351"/>
          </w:tcPr>
          <w:p>
            <w:r>
              <w:t>Três componentes e os riscos a analisar</w:t>
            </w:r>
          </w:p>
        </w:tc>
        <w:tc>
          <w:tcPr>
            <w:tcW w:type="dxa" w:w="2351"/>
          </w:tcPr>
          <w:p>
            <w:r>
              <w:t>0:20</w:t>
            </w:r>
          </w:p>
        </w:tc>
        <w:tc>
          <w:tcPr>
            <w:tcW w:type="dxa" w:w="2351"/>
          </w:tcPr>
          <w:p>
            <w:r>
              <w:t>14:27</w:t>
            </w:r>
          </w:p>
        </w:tc>
      </w:tr>
      <w:tr>
        <w:tc>
          <w:tcPr>
            <w:tcW w:type="dxa" w:w="2351"/>
          </w:tcPr>
          <w:p>
            <w:r>
              <w:t>15</w:t>
            </w:r>
          </w:p>
        </w:tc>
        <w:tc>
          <w:tcPr>
            <w:tcW w:type="dxa" w:w="2351"/>
          </w:tcPr>
          <w:p>
            <w:r>
              <w:t>Três formulações, dois estatutos</w:t>
            </w:r>
          </w:p>
        </w:tc>
        <w:tc>
          <w:tcPr>
            <w:tcW w:type="dxa" w:w="2351"/>
          </w:tcPr>
          <w:p>
            <w:r>
              <w:t>0:10</w:t>
            </w:r>
          </w:p>
        </w:tc>
        <w:tc>
          <w:tcPr>
            <w:tcW w:type="dxa" w:w="2351"/>
          </w:tcPr>
          <w:p>
            <w:r>
              <w:t>14:37</w:t>
            </w:r>
          </w:p>
        </w:tc>
      </w:tr>
      <w:tr>
        <w:tc>
          <w:tcPr>
            <w:tcW w:type="dxa" w:w="2351"/>
          </w:tcPr>
          <w:p>
            <w:r>
              <w:t>16</w:t>
            </w:r>
          </w:p>
        </w:tc>
        <w:tc>
          <w:tcPr>
            <w:tcW w:type="dxa" w:w="2351"/>
          </w:tcPr>
          <w:p>
            <w:r>
              <w:t>Onde os referenciais deixam de cobrir o caso</w:t>
            </w:r>
          </w:p>
        </w:tc>
        <w:tc>
          <w:tcPr>
            <w:tcW w:type="dxa" w:w="2351"/>
          </w:tcPr>
          <w:p>
            <w:r>
              <w:t>0:10</w:t>
            </w:r>
          </w:p>
        </w:tc>
        <w:tc>
          <w:tcPr>
            <w:tcW w:type="dxa" w:w="2351"/>
          </w:tcPr>
          <w:p>
            <w:r>
              <w:t>14:47</w:t>
            </w:r>
          </w:p>
        </w:tc>
      </w:tr>
      <w:tr>
        <w:tc>
          <w:tcPr>
            <w:tcW w:type="dxa" w:w="2351"/>
          </w:tcPr>
          <w:p>
            <w:r>
              <w:t>17</w:t>
            </w:r>
          </w:p>
        </w:tc>
        <w:tc>
          <w:tcPr>
            <w:tcW w:type="dxa" w:w="2351"/>
          </w:tcPr>
          <w:p>
            <w:r>
              <w:t>O motor teórico: duas engrenagens e o fosso entre elas</w:t>
            </w:r>
          </w:p>
        </w:tc>
        <w:tc>
          <w:tcPr>
            <w:tcW w:type="dxa" w:w="2351"/>
          </w:tcPr>
          <w:p>
            <w:r>
              <w:t>0:28</w:t>
            </w:r>
          </w:p>
        </w:tc>
        <w:tc>
          <w:tcPr>
            <w:tcW w:type="dxa" w:w="2351"/>
          </w:tcPr>
          <w:p>
            <w:r>
              <w:t>15:15</w:t>
            </w:r>
          </w:p>
        </w:tc>
      </w:tr>
      <w:tr>
        <w:tc>
          <w:tcPr>
            <w:tcW w:type="dxa" w:w="2351"/>
          </w:tcPr>
          <w:p>
            <w:r>
              <w:t>18</w:t>
            </w:r>
          </w:p>
        </w:tc>
        <w:tc>
          <w:tcPr>
            <w:tcW w:type="dxa" w:w="2351"/>
          </w:tcPr>
          <w:p>
            <w:r>
              <w:t>Como a categoria pode falhar</w:t>
            </w:r>
          </w:p>
        </w:tc>
        <w:tc>
          <w:tcPr>
            <w:tcW w:type="dxa" w:w="2351"/>
          </w:tcPr>
          <w:p>
            <w:r>
              <w:t>0:12</w:t>
            </w:r>
          </w:p>
        </w:tc>
        <w:tc>
          <w:tcPr>
            <w:tcW w:type="dxa" w:w="2351"/>
          </w:tcPr>
          <w:p>
            <w:r>
              <w:t>15:27</w:t>
            </w:r>
          </w:p>
        </w:tc>
      </w:tr>
      <w:tr>
        <w:tc>
          <w:tcPr>
            <w:tcW w:type="dxa" w:w="2351"/>
          </w:tcPr>
          <w:p>
            <w:r>
              <w:t>19</w:t>
            </w:r>
          </w:p>
        </w:tc>
        <w:tc>
          <w:tcPr>
            <w:tcW w:type="dxa" w:w="2351"/>
          </w:tcPr>
          <w:p>
            <w:r>
              <w:t>Ética, posição e reflexividade</w:t>
            </w:r>
          </w:p>
        </w:tc>
        <w:tc>
          <w:tcPr>
            <w:tcW w:type="dxa" w:w="2351"/>
          </w:tcPr>
          <w:p>
            <w:r>
              <w:t>0:14</w:t>
            </w:r>
          </w:p>
        </w:tc>
        <w:tc>
          <w:tcPr>
            <w:tcW w:type="dxa" w:w="2351"/>
          </w:tcPr>
          <w:p>
            <w:r>
              <w:t>15:41</w:t>
            </w:r>
          </w:p>
        </w:tc>
      </w:tr>
      <w:tr>
        <w:tc>
          <w:tcPr>
            <w:tcW w:type="dxa" w:w="2351"/>
          </w:tcPr>
          <w:p>
            <w:r>
              <w:t>20</w:t>
            </w:r>
          </w:p>
        </w:tc>
        <w:tc>
          <w:tcPr>
            <w:tcW w:type="dxa" w:w="2351"/>
          </w:tcPr>
          <w:p>
            <w:r>
              <w:t>A tessitura: os fios que sustentam a tese</w:t>
            </w:r>
          </w:p>
        </w:tc>
        <w:tc>
          <w:tcPr>
            <w:tcW w:type="dxa" w:w="2351"/>
          </w:tcPr>
          <w:p>
            <w:r>
              <w:t>0:10</w:t>
            </w:r>
          </w:p>
        </w:tc>
        <w:tc>
          <w:tcPr>
            <w:tcW w:type="dxa" w:w="2351"/>
          </w:tcPr>
          <w:p>
            <w:r>
              <w:t>15:51</w:t>
            </w:r>
          </w:p>
        </w:tc>
      </w:tr>
      <w:tr>
        <w:tc>
          <w:tcPr>
            <w:tcW w:type="dxa" w:w="2351"/>
          </w:tcPr>
          <w:p>
            <w:r>
              <w:t>21</w:t>
            </w:r>
          </w:p>
        </w:tc>
        <w:tc>
          <w:tcPr>
            <w:tcW w:type="dxa" w:w="2351"/>
          </w:tcPr>
          <w:p>
            <w:r>
              <w:t>Parte II – Revisão sistemática</w:t>
            </w:r>
          </w:p>
        </w:tc>
        <w:tc>
          <w:tcPr>
            <w:tcW w:type="dxa" w:w="2351"/>
          </w:tcPr>
          <w:p>
            <w:r>
              <w:t>0:07</w:t>
            </w:r>
          </w:p>
        </w:tc>
        <w:tc>
          <w:tcPr>
            <w:tcW w:type="dxa" w:w="2351"/>
          </w:tcPr>
          <w:p>
            <w:r>
              <w:t>15:58</w:t>
            </w:r>
          </w:p>
        </w:tc>
      </w:tr>
      <w:tr>
        <w:tc>
          <w:tcPr>
            <w:tcW w:type="dxa" w:w="2351"/>
          </w:tcPr>
          <w:p>
            <w:r>
              <w:t>22</w:t>
            </w:r>
          </w:p>
        </w:tc>
        <w:tc>
          <w:tcPr>
            <w:tcW w:type="dxa" w:w="2351"/>
          </w:tcPr>
          <w:p>
            <w:r>
              <w:t>A RSL: questão norteadora e resposta</w:t>
            </w:r>
          </w:p>
        </w:tc>
        <w:tc>
          <w:tcPr>
            <w:tcW w:type="dxa" w:w="2351"/>
          </w:tcPr>
          <w:p>
            <w:r>
              <w:t>0:30</w:t>
            </w:r>
          </w:p>
        </w:tc>
        <w:tc>
          <w:tcPr>
            <w:tcW w:type="dxa" w:w="2351"/>
          </w:tcPr>
          <w:p>
            <w:r>
              <w:t>16:28</w:t>
            </w:r>
          </w:p>
        </w:tc>
      </w:tr>
      <w:tr>
        <w:tc>
          <w:tcPr>
            <w:tcW w:type="dxa" w:w="2351"/>
          </w:tcPr>
          <w:p>
            <w:r>
              <w:t>23</w:t>
            </w:r>
          </w:p>
        </w:tc>
        <w:tc>
          <w:tcPr>
            <w:tcW w:type="dxa" w:w="2351"/>
          </w:tcPr>
          <w:p>
            <w:r>
              <w:t>Parte III – Metodologia</w:t>
            </w:r>
          </w:p>
        </w:tc>
        <w:tc>
          <w:tcPr>
            <w:tcW w:type="dxa" w:w="2351"/>
          </w:tcPr>
          <w:p>
            <w:r>
              <w:t>0:05</w:t>
            </w:r>
          </w:p>
        </w:tc>
        <w:tc>
          <w:tcPr>
            <w:tcW w:type="dxa" w:w="2351"/>
          </w:tcPr>
          <w:p>
            <w:r>
              <w:t>16:33</w:t>
            </w:r>
          </w:p>
        </w:tc>
      </w:tr>
      <w:tr>
        <w:tc>
          <w:tcPr>
            <w:tcW w:type="dxa" w:w="2351"/>
          </w:tcPr>
          <w:p>
            <w:r>
              <w:t>24</w:t>
            </w:r>
          </w:p>
        </w:tc>
        <w:tc>
          <w:tcPr>
            <w:tcW w:type="dxa" w:w="2351"/>
          </w:tcPr>
          <w:p>
            <w:r>
              <w:t>Desenho: estudo de caso único, qualitativo</w:t>
            </w:r>
          </w:p>
        </w:tc>
        <w:tc>
          <w:tcPr>
            <w:tcW w:type="dxa" w:w="2351"/>
          </w:tcPr>
          <w:p>
            <w:r>
              <w:t>0:16</w:t>
            </w:r>
          </w:p>
        </w:tc>
        <w:tc>
          <w:tcPr>
            <w:tcW w:type="dxa" w:w="2351"/>
          </w:tcPr>
          <w:p>
            <w:r>
              <w:t>16:49</w:t>
            </w:r>
          </w:p>
        </w:tc>
      </w:tr>
      <w:tr>
        <w:tc>
          <w:tcPr>
            <w:tcW w:type="dxa" w:w="2351"/>
          </w:tcPr>
          <w:p>
            <w:r>
              <w:t>25</w:t>
            </w:r>
          </w:p>
        </w:tc>
        <w:tc>
          <w:tcPr>
            <w:tcW w:type="dxa" w:w="2351"/>
          </w:tcPr>
          <w:p>
            <w:r>
              <w:t>Quem será ouvido</w:t>
            </w:r>
          </w:p>
        </w:tc>
        <w:tc>
          <w:tcPr>
            <w:tcW w:type="dxa" w:w="2351"/>
          </w:tcPr>
          <w:p>
            <w:r>
              <w:t>0:11</w:t>
            </w:r>
          </w:p>
        </w:tc>
        <w:tc>
          <w:tcPr>
            <w:tcW w:type="dxa" w:w="2351"/>
          </w:tcPr>
          <w:p>
            <w:r>
              <w:t>17:00</w:t>
            </w:r>
          </w:p>
        </w:tc>
      </w:tr>
      <w:tr>
        <w:tc>
          <w:tcPr>
            <w:tcW w:type="dxa" w:w="2351"/>
          </w:tcPr>
          <w:p>
            <w:r>
              <w:t>26</w:t>
            </w:r>
          </w:p>
        </w:tc>
        <w:tc>
          <w:tcPr>
            <w:tcW w:type="dxa" w:w="2351"/>
          </w:tcPr>
          <w:p>
            <w:r>
              <w:t>Parte IV – Agenda internacional e PNED</w:t>
            </w:r>
          </w:p>
        </w:tc>
        <w:tc>
          <w:tcPr>
            <w:tcW w:type="dxa" w:w="2351"/>
          </w:tcPr>
          <w:p>
            <w:r>
              <w:t>0:07</w:t>
            </w:r>
          </w:p>
        </w:tc>
        <w:tc>
          <w:tcPr>
            <w:tcW w:type="dxa" w:w="2351"/>
          </w:tcPr>
          <w:p>
            <w:r>
              <w:t>17:07</w:t>
            </w:r>
          </w:p>
        </w:tc>
      </w:tr>
      <w:tr>
        <w:tc>
          <w:tcPr>
            <w:tcW w:type="dxa" w:w="2351"/>
          </w:tcPr>
          <w:p>
            <w:r>
              <w:t>27</w:t>
            </w:r>
          </w:p>
        </w:tc>
        <w:tc>
          <w:tcPr>
            <w:tcW w:type="dxa" w:w="2351"/>
          </w:tcPr>
          <w:p>
            <w:r>
              <w:t>A agenda internacional: das presenças às condições</w:t>
            </w:r>
          </w:p>
        </w:tc>
        <w:tc>
          <w:tcPr>
            <w:tcW w:type="dxa" w:w="2351"/>
          </w:tcPr>
          <w:p>
            <w:r>
              <w:t>0:13</w:t>
            </w:r>
          </w:p>
        </w:tc>
        <w:tc>
          <w:tcPr>
            <w:tcW w:type="dxa" w:w="2351"/>
          </w:tcPr>
          <w:p>
            <w:r>
              <w:t>17:20</w:t>
            </w:r>
          </w:p>
        </w:tc>
      </w:tr>
      <w:tr>
        <w:tc>
          <w:tcPr>
            <w:tcW w:type="dxa" w:w="2351"/>
          </w:tcPr>
          <w:p>
            <w:r>
              <w:t>28</w:t>
            </w:r>
          </w:p>
        </w:tc>
        <w:tc>
          <w:tcPr>
            <w:tcW w:type="dxa" w:w="2351"/>
          </w:tcPr>
          <w:p>
            <w:r>
              <w:t>Mapa das políticas de educação digital</w:t>
            </w:r>
          </w:p>
        </w:tc>
        <w:tc>
          <w:tcPr>
            <w:tcW w:type="dxa" w:w="2351"/>
          </w:tcPr>
          <w:p>
            <w:r>
              <w:t>0:10</w:t>
            </w:r>
          </w:p>
        </w:tc>
        <w:tc>
          <w:tcPr>
            <w:tcW w:type="dxa" w:w="2351"/>
          </w:tcPr>
          <w:p>
            <w:r>
              <w:t>17:30</w:t>
            </w:r>
          </w:p>
        </w:tc>
      </w:tr>
      <w:tr>
        <w:tc>
          <w:tcPr>
            <w:tcW w:type="dxa" w:w="2351"/>
          </w:tcPr>
          <w:p>
            <w:r>
              <w:t>29</w:t>
            </w:r>
          </w:p>
        </w:tc>
        <w:tc>
          <w:tcPr>
            <w:tcW w:type="dxa" w:w="2351"/>
          </w:tcPr>
          <w:p>
            <w:r>
              <w:t>O que essas experiências trazem para a tese</w:t>
            </w:r>
          </w:p>
        </w:tc>
        <w:tc>
          <w:tcPr>
            <w:tcW w:type="dxa" w:w="2351"/>
          </w:tcPr>
          <w:p>
            <w:r>
              <w:t>0:08</w:t>
            </w:r>
          </w:p>
        </w:tc>
        <w:tc>
          <w:tcPr>
            <w:tcW w:type="dxa" w:w="2351"/>
          </w:tcPr>
          <w:p>
            <w:r>
              <w:t>17:38</w:t>
            </w:r>
          </w:p>
        </w:tc>
      </w:tr>
      <w:tr>
        <w:tc>
          <w:tcPr>
            <w:tcW w:type="dxa" w:w="2351"/>
          </w:tcPr>
          <w:p>
            <w:r>
              <w:t>30</w:t>
            </w:r>
          </w:p>
        </w:tc>
        <w:tc>
          <w:tcPr>
            <w:tcW w:type="dxa" w:w="2351"/>
          </w:tcPr>
          <w:p>
            <w:r>
              <w:t>Quatro décadas até a PNED</w:t>
            </w:r>
          </w:p>
        </w:tc>
        <w:tc>
          <w:tcPr>
            <w:tcW w:type="dxa" w:w="2351"/>
          </w:tcPr>
          <w:p>
            <w:r>
              <w:t>0:09</w:t>
            </w:r>
          </w:p>
        </w:tc>
        <w:tc>
          <w:tcPr>
            <w:tcW w:type="dxa" w:w="2351"/>
          </w:tcPr>
          <w:p>
            <w:r>
              <w:t>17:47</w:t>
            </w:r>
          </w:p>
        </w:tc>
      </w:tr>
      <w:tr>
        <w:tc>
          <w:tcPr>
            <w:tcW w:type="dxa" w:w="2351"/>
          </w:tcPr>
          <w:p>
            <w:r>
              <w:t>31</w:t>
            </w:r>
          </w:p>
        </w:tc>
        <w:tc>
          <w:tcPr>
            <w:tcW w:type="dxa" w:w="2351"/>
          </w:tcPr>
          <w:p>
            <w:r>
              <w:t>Por que a PNED importa</w:t>
            </w:r>
          </w:p>
        </w:tc>
        <w:tc>
          <w:tcPr>
            <w:tcW w:type="dxa" w:w="2351"/>
          </w:tcPr>
          <w:p>
            <w:r>
              <w:t>0:13</w:t>
            </w:r>
          </w:p>
        </w:tc>
        <w:tc>
          <w:tcPr>
            <w:tcW w:type="dxa" w:w="2351"/>
          </w:tcPr>
          <w:p>
            <w:r>
              <w:t>18:00</w:t>
            </w:r>
          </w:p>
        </w:tc>
      </w:tr>
      <w:tr>
        <w:tc>
          <w:tcPr>
            <w:tcW w:type="dxa" w:w="2351"/>
          </w:tcPr>
          <w:p>
            <w:r>
              <w:t>32</w:t>
            </w:r>
          </w:p>
        </w:tc>
        <w:tc>
          <w:tcPr>
            <w:tcW w:type="dxa" w:w="2351"/>
          </w:tcPr>
          <w:p>
            <w:r>
              <w:t>A PNED e o calendário da exigência</w:t>
            </w:r>
          </w:p>
        </w:tc>
        <w:tc>
          <w:tcPr>
            <w:tcW w:type="dxa" w:w="2351"/>
          </w:tcPr>
          <w:p>
            <w:r>
              <w:t>0:12</w:t>
            </w:r>
          </w:p>
        </w:tc>
        <w:tc>
          <w:tcPr>
            <w:tcW w:type="dxa" w:w="2351"/>
          </w:tcPr>
          <w:p>
            <w:r>
              <w:t>18:12</w:t>
            </w:r>
          </w:p>
        </w:tc>
      </w:tr>
      <w:tr>
        <w:tc>
          <w:tcPr>
            <w:tcW w:type="dxa" w:w="2351"/>
          </w:tcPr>
          <w:p>
            <w:r>
              <w:t>33</w:t>
            </w:r>
          </w:p>
        </w:tc>
        <w:tc>
          <w:tcPr>
            <w:tcW w:type="dxa" w:w="2351"/>
          </w:tcPr>
          <w:p>
            <w:r>
              <w:t>A promessa e o desenho</w:t>
            </w:r>
          </w:p>
        </w:tc>
        <w:tc>
          <w:tcPr>
            <w:tcW w:type="dxa" w:w="2351"/>
          </w:tcPr>
          <w:p>
            <w:r>
              <w:t>0:20</w:t>
            </w:r>
          </w:p>
        </w:tc>
        <w:tc>
          <w:tcPr>
            <w:tcW w:type="dxa" w:w="2351"/>
          </w:tcPr>
          <w:p>
            <w:r>
              <w:t>18:32</w:t>
            </w:r>
          </w:p>
        </w:tc>
      </w:tr>
      <w:tr>
        <w:tc>
          <w:tcPr>
            <w:tcW w:type="dxa" w:w="2351"/>
          </w:tcPr>
          <w:p>
            <w:r>
              <w:t>34</w:t>
            </w:r>
          </w:p>
        </w:tc>
        <w:tc>
          <w:tcPr>
            <w:tcW w:type="dxa" w:w="2351"/>
          </w:tcPr>
          <w:p>
            <w:r>
              <w:t>Parte V – O território e a escola</w:t>
            </w:r>
          </w:p>
        </w:tc>
        <w:tc>
          <w:tcPr>
            <w:tcW w:type="dxa" w:w="2351"/>
          </w:tcPr>
          <w:p>
            <w:r>
              <w:t>0:06</w:t>
            </w:r>
          </w:p>
        </w:tc>
        <w:tc>
          <w:tcPr>
            <w:tcW w:type="dxa" w:w="2351"/>
          </w:tcPr>
          <w:p>
            <w:r>
              <w:t>18:38</w:t>
            </w:r>
          </w:p>
        </w:tc>
      </w:tr>
      <w:tr>
        <w:tc>
          <w:tcPr>
            <w:tcW w:type="dxa" w:w="2351"/>
          </w:tcPr>
          <w:p>
            <w:r>
              <w:t>35</w:t>
            </w:r>
          </w:p>
        </w:tc>
        <w:tc>
          <w:tcPr>
            <w:tcW w:type="dxa" w:w="2351"/>
          </w:tcPr>
          <w:p>
            <w:r>
              <w:t>A antiga Pipa: trabalho, moradia e mar</w:t>
            </w:r>
          </w:p>
        </w:tc>
        <w:tc>
          <w:tcPr>
            <w:tcW w:type="dxa" w:w="2351"/>
          </w:tcPr>
          <w:p>
            <w:r>
              <w:t>0:12</w:t>
            </w:r>
          </w:p>
        </w:tc>
        <w:tc>
          <w:tcPr>
            <w:tcW w:type="dxa" w:w="2351"/>
          </w:tcPr>
          <w:p>
            <w:r>
              <w:t>18:50</w:t>
            </w:r>
          </w:p>
        </w:tc>
      </w:tr>
      <w:tr>
        <w:tc>
          <w:tcPr>
            <w:tcW w:type="dxa" w:w="2351"/>
          </w:tcPr>
          <w:p>
            <w:r>
              <w:t>36</w:t>
            </w:r>
          </w:p>
        </w:tc>
        <w:tc>
          <w:tcPr>
            <w:tcW w:type="dxa" w:w="2351"/>
          </w:tcPr>
          <w:p>
            <w:r>
              <w:t>As transformações: de vila a polo turístico</w:t>
            </w:r>
          </w:p>
        </w:tc>
        <w:tc>
          <w:tcPr>
            <w:tcW w:type="dxa" w:w="2351"/>
          </w:tcPr>
          <w:p>
            <w:r>
              <w:t>0:10</w:t>
            </w:r>
          </w:p>
        </w:tc>
        <w:tc>
          <w:tcPr>
            <w:tcW w:type="dxa" w:w="2351"/>
          </w:tcPr>
          <w:p>
            <w:r>
              <w:t>19:00</w:t>
            </w:r>
          </w:p>
        </w:tc>
      </w:tr>
      <w:tr>
        <w:tc>
          <w:tcPr>
            <w:tcW w:type="dxa" w:w="2351"/>
          </w:tcPr>
          <w:p>
            <w:r>
              <w:t>37</w:t>
            </w:r>
          </w:p>
        </w:tc>
        <w:tc>
          <w:tcPr>
            <w:tcW w:type="dxa" w:w="2351"/>
          </w:tcPr>
          <w:p>
            <w:r>
              <w:t>A Pipa de hoje: um território conectado</w:t>
            </w:r>
          </w:p>
        </w:tc>
        <w:tc>
          <w:tcPr>
            <w:tcW w:type="dxa" w:w="2351"/>
          </w:tcPr>
          <w:p>
            <w:r>
              <w:t>0:26</w:t>
            </w:r>
          </w:p>
        </w:tc>
        <w:tc>
          <w:tcPr>
            <w:tcW w:type="dxa" w:w="2351"/>
          </w:tcPr>
          <w:p>
            <w:r>
              <w:t>19:26</w:t>
            </w:r>
          </w:p>
        </w:tc>
      </w:tr>
      <w:tr>
        <w:tc>
          <w:tcPr>
            <w:tcW w:type="dxa" w:w="2351"/>
          </w:tcPr>
          <w:p>
            <w:r>
              <w:t>38</w:t>
            </w:r>
          </w:p>
        </w:tc>
        <w:tc>
          <w:tcPr>
            <w:tcW w:type="dxa" w:w="2351"/>
          </w:tcPr>
          <w:p>
            <w:r>
              <w:t>A escola não se resume ao que falta</w:t>
            </w:r>
          </w:p>
        </w:tc>
        <w:tc>
          <w:tcPr>
            <w:tcW w:type="dxa" w:w="2351"/>
          </w:tcPr>
          <w:p>
            <w:r>
              <w:t>0:10</w:t>
            </w:r>
          </w:p>
        </w:tc>
        <w:tc>
          <w:tcPr>
            <w:tcW w:type="dxa" w:w="2351"/>
          </w:tcPr>
          <w:p>
            <w:r>
              <w:t>19:36</w:t>
            </w:r>
          </w:p>
        </w:tc>
      </w:tr>
      <w:tr>
        <w:tc>
          <w:tcPr>
            <w:tcW w:type="dxa" w:w="2351"/>
          </w:tcPr>
          <w:p>
            <w:r>
              <w:t>39</w:t>
            </w:r>
          </w:p>
        </w:tc>
        <w:tc>
          <w:tcPr>
            <w:tcW w:type="dxa" w:w="2351"/>
          </w:tcPr>
          <w:p>
            <w:r>
              <w:t>Na escola: o que existe e onde está</w:t>
            </w:r>
          </w:p>
        </w:tc>
        <w:tc>
          <w:tcPr>
            <w:tcW w:type="dxa" w:w="2351"/>
          </w:tcPr>
          <w:p>
            <w:r>
              <w:t>0:16</w:t>
            </w:r>
          </w:p>
        </w:tc>
        <w:tc>
          <w:tcPr>
            <w:tcW w:type="dxa" w:w="2351"/>
          </w:tcPr>
          <w:p>
            <w:r>
              <w:t>19:52</w:t>
            </w:r>
          </w:p>
        </w:tc>
      </w:tr>
      <w:tr>
        <w:tc>
          <w:tcPr>
            <w:tcW w:type="dxa" w:w="2351"/>
          </w:tcPr>
          <w:p>
            <w:r>
              <w:t>40</w:t>
            </w:r>
          </w:p>
        </w:tc>
        <w:tc>
          <w:tcPr>
            <w:tcW w:type="dxa" w:w="2351"/>
          </w:tcPr>
          <w:p>
            <w:r>
              <w:t>Rugosidade tecnológica: perda ou ausência?</w:t>
            </w:r>
          </w:p>
        </w:tc>
        <w:tc>
          <w:tcPr>
            <w:tcW w:type="dxa" w:w="2351"/>
          </w:tcPr>
          <w:p>
            <w:r>
              <w:t>0:15</w:t>
            </w:r>
          </w:p>
        </w:tc>
        <w:tc>
          <w:tcPr>
            <w:tcW w:type="dxa" w:w="2351"/>
          </w:tcPr>
          <w:p>
            <w:r>
              <w:t>20:07</w:t>
            </w:r>
          </w:p>
        </w:tc>
      </w:tr>
      <w:tr>
        <w:tc>
          <w:tcPr>
            <w:tcW w:type="dxa" w:w="2351"/>
          </w:tcPr>
          <w:p>
            <w:r>
              <w:t>41</w:t>
            </w:r>
          </w:p>
        </w:tc>
        <w:tc>
          <w:tcPr>
            <w:tcW w:type="dxa" w:w="2351"/>
          </w:tcPr>
          <w:p>
            <w:r>
              <w:t>Contribuições analíticas do capítulo</w:t>
            </w:r>
          </w:p>
        </w:tc>
        <w:tc>
          <w:tcPr>
            <w:tcW w:type="dxa" w:w="2351"/>
          </w:tcPr>
          <w:p>
            <w:r>
              <w:t>0:10</w:t>
            </w:r>
          </w:p>
        </w:tc>
        <w:tc>
          <w:tcPr>
            <w:tcW w:type="dxa" w:w="2351"/>
          </w:tcPr>
          <w:p>
            <w:r>
              <w:t>20:17</w:t>
            </w:r>
          </w:p>
        </w:tc>
      </w:tr>
      <w:tr>
        <w:tc>
          <w:tcPr>
            <w:tcW w:type="dxa" w:w="2351"/>
          </w:tcPr>
          <w:p>
            <w:r>
              <w:t>42</w:t>
            </w:r>
          </w:p>
        </w:tc>
        <w:tc>
          <w:tcPr>
            <w:tcW w:type="dxa" w:w="2351"/>
          </w:tcPr>
          <w:p>
            <w:r>
              <w:t>Parte VI – O que ainda falta</w:t>
            </w:r>
          </w:p>
        </w:tc>
        <w:tc>
          <w:tcPr>
            <w:tcW w:type="dxa" w:w="2351"/>
          </w:tcPr>
          <w:p>
            <w:r>
              <w:t>0:06</w:t>
            </w:r>
          </w:p>
        </w:tc>
        <w:tc>
          <w:tcPr>
            <w:tcW w:type="dxa" w:w="2351"/>
          </w:tcPr>
          <w:p>
            <w:r>
              <w:t>20:23</w:t>
            </w:r>
          </w:p>
        </w:tc>
      </w:tr>
      <w:tr>
        <w:tc>
          <w:tcPr>
            <w:tcW w:type="dxa" w:w="2351"/>
          </w:tcPr>
          <w:p>
            <w:r>
              <w:t>43</w:t>
            </w:r>
          </w:p>
        </w:tc>
        <w:tc>
          <w:tcPr>
            <w:tcW w:type="dxa" w:w="2351"/>
          </w:tcPr>
          <w:p>
            <w:r>
              <w:t>Onde estamos e o que falta</w:t>
            </w:r>
          </w:p>
        </w:tc>
        <w:tc>
          <w:tcPr>
            <w:tcW w:type="dxa" w:w="2351"/>
          </w:tcPr>
          <w:p>
            <w:r>
              <w:t>0:11</w:t>
            </w:r>
          </w:p>
        </w:tc>
        <w:tc>
          <w:tcPr>
            <w:tcW w:type="dxa" w:w="2351"/>
          </w:tcPr>
          <w:p>
            <w:r>
              <w:t>20:34</w:t>
            </w:r>
          </w:p>
        </w:tc>
      </w:tr>
      <w:tr>
        <w:tc>
          <w:tcPr>
            <w:tcW w:type="dxa" w:w="2351"/>
          </w:tcPr>
          <w:p>
            <w:r>
              <w:t>44</w:t>
            </w:r>
          </w:p>
        </w:tc>
        <w:tc>
          <w:tcPr>
            <w:tcW w:type="dxa" w:w="2351"/>
          </w:tcPr>
          <w:p>
            <w:r>
              <w:t>A questão aberta / Agradecimento</w:t>
            </w:r>
          </w:p>
        </w:tc>
        <w:tc>
          <w:tcPr>
            <w:tcW w:type="dxa" w:w="2351"/>
          </w:tcPr>
          <w:p>
            <w:r>
              <w:t>0:24</w:t>
            </w:r>
          </w:p>
        </w:tc>
        <w:tc>
          <w:tcPr>
            <w:tcW w:type="dxa" w:w="2351"/>
          </w:tcPr>
          <w:p>
            <w:r>
              <w:t>20:58</w:t>
            </w:r>
          </w:p>
        </w:tc>
      </w:tr>
      <w:tr>
        <w:tc>
          <w:tcPr>
            <w:tcW w:type="dxa" w:w="2351"/>
          </w:tcPr>
          <w:p>
            <w:r>
              <w:t>45</w:t>
            </w:r>
          </w:p>
        </w:tc>
        <w:tc>
          <w:tcPr>
            <w:tcW w:type="dxa" w:w="2351"/>
          </w:tcPr>
          <w:p>
            <w:r>
              <w:t>Referências</w:t>
            </w:r>
          </w:p>
        </w:tc>
        <w:tc>
          <w:tcPr>
            <w:tcW w:type="dxa" w:w="2351"/>
          </w:tcPr>
          <w:p>
            <w:r>
              <w:t>—</w:t>
            </w:r>
          </w:p>
        </w:tc>
        <w:tc>
          <w:tcPr>
            <w:tcW w:type="dxa" w:w="2351"/>
          </w:tcPr>
          <w:p>
            <w:r>
              <w:t>—</w:t>
            </w:r>
          </w:p>
        </w:tc>
      </w:tr>
    </w:tbl>
    <w:p>
      <w:pPr>
        <w:pStyle w:val="Heading2"/>
      </w:pPr>
      <w:r>
        <w:t>Slide 1 – Apresentação do tema  (1:02; acumulado 1:02)</w:t>
      </w:r>
    </w:p>
    <w:p>
      <w:r>
        <w:t>Bom dia. Cumprimento os membros da banca, a quem agradeço a leitura atenta do texto, e minha orientadora, professora Maria Cristina Leandro de Paiva. Apresento a qualificação da tese intitulada “A política no canteiro da prática: norma, território e atuação profissional na implementação da educação digital escolar nos anos iniciais”. O tema da pesquisa é a Política Nacional de Educação Digital, instituída em 2023, observada no ponto em que ela efetivamente se realiza: a escola. Interessa-me compreender como essa política é recebida, interpretada e posta em prática pelos profissionais da educação de uma escola pública dos anos iniciais em Pipa, distrito de Tibau do Sul, no Rio Grande do Norte, e em que condições materiais, institucionais e territoriais isso acontece.</w:t>
      </w:r>
    </w:p>
    <w:p>
      <w:pPr>
        <w:pStyle w:val="Heading2"/>
      </w:pPr>
      <w:r>
        <w:t>Slide 2 – Percurso da apresentação  (0:18; acumulado 1:20)</w:t>
      </w:r>
    </w:p>
    <w:p>
      <w:r>
        <w:t>A exposição organiza-se em seis partes: a proposta da tese, a revisão sistemática, a metodologia, a agenda internacional e a PNED, o território e a escola e, por fim, as etapas que restam.</w:t>
      </w:r>
    </w:p>
    <w:p>
      <w:pPr>
        <w:pStyle w:val="Heading2"/>
      </w:pPr>
      <w:r>
        <w:t>Slide 3 – Minha trajetória associada à pesquisa  (1:18; acumulado 2:38)</w:t>
      </w:r>
    </w:p>
    <w:p>
      <w:r>
        <w:t>Inicio pela minha trajetória, porque ela está diretamente associada à origem desta pesquisa. Convivo com o território de Pipa há quase duas décadas e atuei por dezoito anos na rede municipal de educação de Tibau do Sul, o que me permitiu acompanhar de perto o modo como as políticas chegam às escolas. No mestrado, realizei uma pesquisa-ação com uma turma de 2º ano da mesma escola, durante o ensino remoto. Naquele período, as atividades eram assíncronas, enviadas por aplicativos de mensagens, e setenta por cento das crianças dependiam do celular dos pais ou responsáveis para acompanhá-las. Foi essa experiência que me levou ao doutorado: a mesma escola, agora diante de uma lei que transforma a educação digital em direito e componente curricular. Por isso, adotei uma regra de método: a memória não é tomada como dado. A trajetória orienta o olhar, mas as afirmações da tese apoiam-se nos instrumentos de pesquisa.</w:t>
      </w:r>
    </w:p>
    <w:p>
      <w:pPr>
        <w:pStyle w:val="Heading2"/>
      </w:pPr>
      <w:r>
        <w:t>Slide 4 – Relevâncias da pesquisa  (1:24; acumulado 4:02)</w:t>
      </w:r>
    </w:p>
    <w:p>
      <w:r>
        <w:t>A pesquisa apresenta três relevâncias. A relevância pessoal decorre da continuidade com o mestrado e da convivência com Pipa e com a rede municipal; ela exige, ao mesmo tempo, cuidado redobrado, porque o município é um dos entes federados aos quais a lei atribui a provisão dos meios, de modo que não olho o problema de fora. A relevância científica está em três pontos: a PNED ainda não foi examinada empiricamente nos anos iniciais; o ciclo de alfabetização e as redes municipais de pequeno porte estão quase ausentes da literatura; e a tese propõe uma categoria nova, com critérios de refutação definidos antes do campo, além de ler a política pelo espaço, por meio das noções de habitar digital e rugosidade tecnológica. A relevância social, por fim, reside no fato de que o eixo investigado trata de cidadania e de proteção da infância no ambiente digital; a presença das tecnologias na vida das crianças não garante as mesmas condições de uso e de compreensão;.</w:t>
      </w:r>
    </w:p>
    <w:p>
      <w:pPr>
        <w:pStyle w:val="Heading2"/>
      </w:pPr>
      <w:r>
        <w:t>Slide 5 – Parte I – A proposta da tese  (0:07; acumulado 4:09)</w:t>
      </w:r>
    </w:p>
    <w:p>
      <w:r>
        <w:t>Passo, então, à primeira parte, dedicada à proposta da tese.</w:t>
      </w:r>
    </w:p>
    <w:p>
      <w:pPr>
        <w:pStyle w:val="Heading2"/>
      </w:pPr>
      <w:r>
        <w:t>Slide 6 – Estrutura da tese  (0:12; acumulado 4:21)</w:t>
      </w:r>
    </w:p>
    <w:p>
      <w:r>
        <w:t>A tese tem oito capítulos; cinco estão redigidos, o terceiro está em elaboração e os dois últimos dependem do campo.</w:t>
      </w:r>
    </w:p>
    <w:p>
      <w:pPr>
        <w:pStyle w:val="Heading2"/>
      </w:pPr>
      <w:r>
        <w:t>Slide 7 – A tese em uma imagem: o vazio material  (1:43; acumulado 6:04)</w:t>
      </w:r>
    </w:p>
    <w:p>
      <w:r>
        <w:t>Este slide sintetiza o argumento central. A Lei nº 14.533, de 2023, que institui a Política Nacional de Educação Digital, coloca a escola numa posição que exige muito mais do que o uso de equipamentos nas atividades pedagógicas. Por essa razão, a tese adota a noção de educação digital, e não apenas de letramento digital ou de uso de tecnologias, pois ela abrange dimensões culturais, éticas, críticas, sociais e cidadãs. Essas expressões, contudo, não são autoevidentes. Quando uma professora afirma trabalhar cultura digital, ou uma gestora afirma cuidar dos direitos digitais das crianças, cada uma fala a partir de um entendimento próprio. Com Stuart Hall, compreendo que essas falas constroem sentidos, e que os sentidos organizam a ação; por isso, as narrativas dos profissionais estão no centro da pesquisa. O problema reside na distância entre o direito declarado e os meios garantidos: a lei não assegura formação, infraestrutura de rede nem tempo de planejamento. Para ler essa distância, o desenho mobiliza Mainardes, que sistematizou no Brasil a Abordagem do Ciclo de Políticas e orienta a análise dos contextos de influência, de produção do texto e da prática, e Lipsky, que permite compreender as decisões tomadas pelos profissionais na ponta do serviço público.</w:t>
      </w:r>
    </w:p>
    <w:p>
      <w:pPr>
        <w:pStyle w:val="Heading2"/>
      </w:pPr>
      <w:r>
        <w:t>Slide 8 – O objeto e o recorte  (1:45; acumulado 7:49)</w:t>
      </w:r>
    </w:p>
    <w:p>
      <w:r>
        <w:t>O objeto é a implementação do eixo Educação Digital Escolar nos anos iniciais da Escola Municipal Domitila Castelo. Cabe explicar o uso de dois termos. Mantenho a palavra implementação porque é o termo empregado pela própria legislação e pelo campo das políticas educacionais, e ela nomeia o processo investigado. Adoto, porém, a noção de atuação, de Ball, Maguire e Braun, como perspectiva de análise, porque ela recusa a ideia de simples execução: a política é interpretada, traduzida e recriada por quem a realiza. Esse é o sentido do contexto da prática, formulado por Bowe, Ball e Gold e sistematizado por Mainardes. O recorte no 1º e no 2º anos justifica-se porque, nessas turmas, a mesma professora acompanha as crianças durante toda a jornada, e a decisão sobre se e quando a educação digital acontece tem autoria identificável. Trata-se, além disso, do ingresso na escolarização obrigatória. Com Buckingham, lembro que as crianças não sabem usar as tecnologias de forma natural: a familiaridade com aparelhos não garante compreensão crítica dos usos, dos riscos e dos direitos, e essa compreensão precisa ser ensinada. Zuboff e Morozov, que discutem o capitalismo de vigilância e o solucionismo tecnológico, entram como contexto em que a política surge, e não como objeto empírico.</w:t>
      </w:r>
    </w:p>
    <w:p>
      <w:pPr>
        <w:pStyle w:val="Heading2"/>
      </w:pPr>
      <w:r>
        <w:t>Slide 9 – Justificativa  (2:28; acumulado 10:17)</w:t>
      </w:r>
    </w:p>
    <w:p>
      <w:r>
        <w:t>A justificativa organiza-se em quatro razões. A primeira está no que a legislação promete às crianças. A Lei nº 14.533, de 2023, associa, no artigo 3º, incisos III e IV, a cultura digital à participação consciente e democrática por meio das tecnologias e os direitos digitais à proteção dos dados de crianças e adolescentes. Com a derrubada do veto, a educação digital passou a ser componente curricular do ensino fundamental, pelo parágrafo 11 do artigo 26 da LDB, a Lei nº 9.394, de 1996. E a Lei nº 15.211, de 2025, o Estatuto Digital da Criança e do Adolescente, em vigor desde março de 2026, reforçou a proteção da infância no ambiente digital. A segunda razão diz respeito a quem faz a política acontecer. Utilizo a expressão profissionais da educação, e não apenas docentes, porque a implementação envolve professoras regentes, coordenação, direção e equipe técnica da Secretaria. É também a denominação adotada pela LDB, no Título VI, e pela Lei nº 14.817, de 2024; e, com Lipsky, entendo que cada uma dessas posições decide a política a partir de margens próprias. A terceira razão é o território. Milton Santos propõe que a categoria de análise não é o território em si, mas o território usado, entendido como campo de forças em que se confrontam o Estado e o mercado, o uso econômico e o uso social dos recursos. Doreen Massey compreende o lugar como encontro de trajetórias, o desafio de negociar um aqui e agora entre pessoas que chegaram por caminhos diferentes. Essas leituras mostram que a mesma turma reúne crianças com trajetórias e experiências digitais desiguais. A quarta razão é o que o eixo pede: ao reunir cinco dimensões, ele amplia o que se cobra das redes e das escolas públicas.</w:t>
      </w:r>
    </w:p>
    <w:p>
      <w:pPr>
        <w:pStyle w:val="Heading2"/>
      </w:pPr>
      <w:r>
        <w:t>Slide 10 – Problematização: do portão para fora, do portão para dentro  (0:18; acumulado 10:35)</w:t>
      </w:r>
    </w:p>
    <w:p>
      <w:r>
        <w:t>Fora da escola, Pipa é um polo turístico conectado; dentro dela, no registro fotográfico, o laboratório estava com os computadores desligados e as salas de 1º e 2º anos não tinham dispositivos digitais.</w:t>
      </w:r>
    </w:p>
    <w:p>
      <w:pPr>
        <w:pStyle w:val="Heading2"/>
      </w:pPr>
      <w:r>
        <w:t>Slide 11 – Problematização: há conexão, faltam computadores e tempo  (1:46; acumulado 12:21)</w:t>
      </w:r>
    </w:p>
    <w:p>
      <w:r>
        <w:t>Este slide apresenta os dados que sustentam a problematização. Segundo a pesquisa TIC Educação 2024, do Comitê Gestor da Internet no Brasil, 96% das escolas brasileiras possuem acesso à internet, e na rede municipal o percentual é de 94%. Contudo, em 2024, menos de três em cada dez escolas rurais dispunham de computadores para uso dos alunos. A conexão chegou, mas o equipamento que permitiria levá-la ao trabalho pedagógico não chegou na mesma medida. O segundo dado refere-se ao tempo de trabalho. Queiroz e Paiva, com base em pesquisa realizada entre 2009 e 2010 em municípios do Rio Grande do Norte, registram que 81,1% dos profissionais levavam, sempre ou frequentemente, atividades do trabalho para realizar em casa. O dado antecede a PNED, mas situa o cenário. Para nomear esse problema, adoto o conceito de condições de trabalho de Oliveira e Vieira, retomado por Queiroz e Paiva: a forma como está organizado o processo de trabalho nas unidades educacionais, incluindo a divisão de tarefas, a jornada, os recursos materiais disponíveis e os tempos e espaços de realização do trabalho. Daí a questão que atravessa a tese: o que acontece com uma política quando os direitos que ela institui não vêm acompanhados das condições materiais e formativas para que se realizem?</w:t>
      </w:r>
    </w:p>
    <w:p>
      <w:pPr>
        <w:pStyle w:val="Heading2"/>
      </w:pPr>
      <w:r>
        <w:t>Slide 12 – Questão norteadora e objetivos  (0:22; acumulado 12:43)</w:t>
      </w:r>
    </w:p>
    <w:p>
      <w:r>
        <w:t>Os três objetivos específicos correspondem aos capítulos de análise: o que a política promete e com que meios; que condições a recebem em Pipa; e o que os profissionais fazem com a distância entre a norma e essas condições.</w:t>
      </w:r>
    </w:p>
    <w:p>
      <w:pPr>
        <w:pStyle w:val="Heading2"/>
      </w:pPr>
      <w:r>
        <w:t>Slide 13 – Contribuição inédita: discricionariedade substitutiva  (1:24; acumulado 14:07)</w:t>
      </w:r>
    </w:p>
    <w:p>
      <w:r>
        <w:t>Apresento agora a principal contribuição proposta. Começo pelo conceito de discricionariedade. No âmbito da administração pública, discricionariedade é a margem de liberdade que a lei confere à autoridade ou ao servidor público para escolher, diante de uma situação concreta, a solução mais adequada, sempre orientada pelo interesse público. Michael Lipsky trouxe essa noção para os trabalhadores que atendem diretamente a população, como professores, e mostrou que, diante de recursos escassos, eles racionam o serviço: organizam filas, revezamentos e prioridades, decidindo quem é atendido e em que ordem. Na escola investigada, entretanto, frequentemente não há o que distribuir. A decisão passa, então, a recair sobre aquilo que não existe: a profissional pode suprir com aparelho, conexão, material, conhecimento ou tempo próprios uma condição anunciada pela política e não assegurada à escola. Mudam o objeto da decisão e quem arca com o seu custo. Denomino essa situação discricionariedade substitutiva. Trata-se, neste momento, de uma proposição a ser examinada nas entrevistas, e não de um resultado.</w:t>
      </w:r>
    </w:p>
    <w:p>
      <w:pPr>
        <w:pStyle w:val="Heading2"/>
      </w:pPr>
      <w:r>
        <w:t>Slide 14 – Três componentes e os riscos a analisar  (0:20; acumulado 14:27)</w:t>
      </w:r>
    </w:p>
    <w:p>
      <w:r>
        <w:t>A categoria exige três componentes simultâneos: ausência de recurso a distribuir, substituição com meios próprios e custo pessoal assumido diante das famílias. Entre os riscos, destaca-se o de a substituição ocultar a falta dos meios.</w:t>
      </w:r>
    </w:p>
    <w:p>
      <w:pPr>
        <w:pStyle w:val="Heading2"/>
      </w:pPr>
      <w:r>
        <w:t>Slide 15 – Três formulações, dois estatutos  (0:10; acumulado 14:37)</w:t>
      </w:r>
    </w:p>
    <w:p>
      <w:r>
        <w:t>Habitar digital e rugosidade tecnológica são condições já documentadas; a discricionariedade substitutiva é hipótese a examinar.</w:t>
      </w:r>
    </w:p>
    <w:p>
      <w:pPr>
        <w:pStyle w:val="Heading2"/>
      </w:pPr>
      <w:r>
        <w:t>Slide 16 – Onde os referenciais deixam de cobrir o caso  (0:10; acumulado 14:47)</w:t>
      </w:r>
    </w:p>
    <w:p>
      <w:r>
        <w:t>Os referenciais pressupõem que os meios existam, ainda que escassos; em Pipa, não há dispositivos a racionar.</w:t>
      </w:r>
    </w:p>
    <w:p>
      <w:pPr>
        <w:pStyle w:val="Heading2"/>
      </w:pPr>
      <w:r>
        <w:t>Slide 17 – O motor teórico: duas engrenagens e o fosso entre elas  (0:28; acumulado 15:15)</w:t>
      </w:r>
    </w:p>
    <w:p>
      <w:r>
        <w:t>O quadro teórico articula duas engrenagens: o Ciclo de Políticas, segundo o qual a política é recriada no contexto da prática, e Lipsky, para quem as decisões na ponta constituem a política realizada. O encaixe é a recontextualização; o fosso é a decisão sobre o que não chegou, onde se situa a contribuição.</w:t>
      </w:r>
    </w:p>
    <w:p>
      <w:pPr>
        <w:pStyle w:val="Heading2"/>
      </w:pPr>
      <w:r>
        <w:t>Slide 18 – Como a categoria pode falhar  (0:12; acumulado 15:27)</w:t>
      </w:r>
    </w:p>
    <w:p>
      <w:r>
        <w:t>Os critérios de confirmação, delimitação, renomeação e recusa foram registrados antes do campo. A recusa da categoria também será resultado.</w:t>
      </w:r>
    </w:p>
    <w:p>
      <w:pPr>
        <w:pStyle w:val="Heading2"/>
      </w:pPr>
      <w:r>
        <w:t>Slide 19 – Ética, posição e reflexividade  (0:14; acumulado 15:41)</w:t>
      </w:r>
    </w:p>
    <w:p>
      <w:r>
        <w:t>A pesquisa segue as Resoluções nº 466 e nº 510 do Conselho Nacional de Saúde, com pseudônimos e sem imagens de rostos de crianças.</w:t>
      </w:r>
    </w:p>
    <w:p>
      <w:pPr>
        <w:pStyle w:val="Heading2"/>
      </w:pPr>
      <w:r>
        <w:t>Slide 20 – A tessitura: os fios que sustentam a tese  (0:10; acumulado 15:51)</w:t>
      </w:r>
    </w:p>
    <w:p>
      <w:r>
        <w:t>Este quadro mostra as frentes teóricas e os capítulos em que cada uma é mobilizada.</w:t>
      </w:r>
    </w:p>
    <w:p>
      <w:pPr>
        <w:pStyle w:val="Heading2"/>
      </w:pPr>
      <w:r>
        <w:t>Slide 21 – Parte II – Revisão sistemática  (0:07; acumulado 15:58)</w:t>
      </w:r>
    </w:p>
    <w:p>
      <w:r>
        <w:t>Passo à segunda parte, referente à revisão sistemática da literatura.</w:t>
      </w:r>
    </w:p>
    <w:p>
      <w:pPr>
        <w:pStyle w:val="Heading2"/>
      </w:pPr>
      <w:r>
        <w:t>Slide 22 – A RSL: questão norteadora e resposta  (0:30; acumulado 16:28)</w:t>
      </w:r>
    </w:p>
    <w:p>
      <w:r>
        <w:t>A revisão sistemática seguiu a declaração PRISMA 2020 em sete bases e reuniu nove estudos. Eles indicam que essas políticas dependem de recursos, condições institucionais e trabalho dos profissionais; nenhum, porém, trata da PNED ou de redes municipais de pequeno porte, e só um delimita a alfabetização. É nessas lacunas que a tese se inscreve.</w:t>
      </w:r>
    </w:p>
    <w:p>
      <w:pPr>
        <w:pStyle w:val="Heading2"/>
      </w:pPr>
      <w:r>
        <w:t>Slide 23 – Parte III – Metodologia  (0:05; acumulado 16:33)</w:t>
      </w:r>
    </w:p>
    <w:p>
      <w:r>
        <w:t>Apresento, a seguir, o desenho metodológico.</w:t>
      </w:r>
    </w:p>
    <w:p>
      <w:pPr>
        <w:pStyle w:val="Heading2"/>
      </w:pPr>
      <w:r>
        <w:t>Slide 24 – Desenho: estudo de caso único, qualitativo  (0:16; acumulado 16:49)</w:t>
      </w:r>
    </w:p>
    <w:p>
      <w:r>
        <w:t>Trata-se de um estudo de caso único e qualitativo, com quatro fontes: registro iconográfico, já realizado, documentos, questionário e entrevistas, estes após a emenda ao Comitê de Ética.</w:t>
      </w:r>
    </w:p>
    <w:p>
      <w:pPr>
        <w:pStyle w:val="Heading2"/>
      </w:pPr>
      <w:r>
        <w:t>Slide 25 – Quem será ouvido  (0:11; acumulado 17:00)</w:t>
      </w:r>
    </w:p>
    <w:p>
      <w:r>
        <w:t>Serão ouvidos doze profissionais: seis professoras regentes, quatro da coordenação, uma pessoa da direção e uma da Secretaria.</w:t>
      </w:r>
    </w:p>
    <w:p>
      <w:pPr>
        <w:pStyle w:val="Heading2"/>
      </w:pPr>
      <w:r>
        <w:t>Slide 26 – Parte IV – Agenda internacional e PNED  (0:07; acumulado 17:07)</w:t>
      </w:r>
    </w:p>
    <w:p>
      <w:r>
        <w:t>A quarta parte trata da produção do texto da política.</w:t>
      </w:r>
    </w:p>
    <w:p>
      <w:pPr>
        <w:pStyle w:val="Heading2"/>
      </w:pPr>
      <w:r>
        <w:t>Slide 27 – A agenda internacional: das presenças às condições  (0:13; acumulado 17:20)</w:t>
      </w:r>
    </w:p>
    <w:p>
      <w:r>
        <w:t>UNESCO, OCDE e Banco Mundial convergem ao deslocar o foco da presença dos recursos para as condições e finalidades de seu uso.</w:t>
      </w:r>
    </w:p>
    <w:p>
      <w:pPr>
        <w:pStyle w:val="Heading2"/>
      </w:pPr>
      <w:r>
        <w:t>Slide 28 – Mapa das políticas de educação digital  (0:10; acumulado 17:30)</w:t>
      </w:r>
    </w:p>
    <w:p>
      <w:r>
        <w:t>Foram analisadas dezenove experiências na Europa e nas Américas, como lentes de leitura, e não como modelos.</w:t>
      </w:r>
    </w:p>
    <w:p>
      <w:pPr>
        <w:pStyle w:val="Heading2"/>
      </w:pPr>
      <w:r>
        <w:t>Slide 29 – O que essas experiências trazem para a tese  (0:08; acumulado 17:38)</w:t>
      </w:r>
    </w:p>
    <w:p>
      <w:r>
        <w:t>Delas resultaram cinco categorias sensibilizadoras: governança, formação, infraestrutura, continuidade institucional e cultura digital.</w:t>
      </w:r>
    </w:p>
    <w:p>
      <w:pPr>
        <w:pStyle w:val="Heading2"/>
      </w:pPr>
      <w:r>
        <w:t>Slide 30 – Quatro décadas até a PNED  (0:09; acumulado 17:47)</w:t>
      </w:r>
    </w:p>
    <w:p>
      <w:r>
        <w:t>No Brasil, do EDUCOM à PNED, repetem-se problemas de manutenção e reposição de equipamentos.</w:t>
      </w:r>
    </w:p>
    <w:p>
      <w:pPr>
        <w:pStyle w:val="Heading2"/>
      </w:pPr>
      <w:r>
        <w:t>Slide 31 – Por que a PNED importa  (0:13; acumulado 18:00)</w:t>
      </w:r>
    </w:p>
    <w:p>
      <w:r>
        <w:t>A PNED tem méritos: articula ações dispersas e inscreve a educação digital entre os deveres do Estado e os direitos das crianças.</w:t>
      </w:r>
    </w:p>
    <w:p>
      <w:pPr>
        <w:pStyle w:val="Heading2"/>
      </w:pPr>
      <w:r>
        <w:t>Slide 32 – A PNED e o calendário da exigência  (0:12; acumulado 18:12)</w:t>
      </w:r>
    </w:p>
    <w:p>
      <w:r>
        <w:t>Vetada em janeiro de 2023 e restabelecida em dezembro, a obrigatoriedade curricular passou a valer em 2026, período desta pesquisa.</w:t>
      </w:r>
    </w:p>
    <w:p>
      <w:pPr>
        <w:pStyle w:val="Heading2"/>
      </w:pPr>
      <w:r>
        <w:t>Slide 33 – A promessa e o desenho  (0:20; acumulado 18:32)</w:t>
      </w:r>
    </w:p>
    <w:p>
      <w:r>
        <w:t>O principal achado da análise legal é o vazio material: a lei não cria fundo próprio, condiciona a conectividade ao orçamento de cada ente e trata a formação como promoção. A exigência tem data; os meios, não.</w:t>
      </w:r>
    </w:p>
    <w:p>
      <w:pPr>
        <w:pStyle w:val="Heading2"/>
      </w:pPr>
      <w:r>
        <w:t>Slide 34 – Parte V – O território e a escola  (0:06; acumulado 18:38)</w:t>
      </w:r>
    </w:p>
    <w:p>
      <w:r>
        <w:t>A quinta parte dedica-se ao território e à escola.</w:t>
      </w:r>
    </w:p>
    <w:p>
      <w:pPr>
        <w:pStyle w:val="Heading2"/>
      </w:pPr>
      <w:r>
        <w:t>Slide 35 – A antiga Pipa: trabalho, moradia e mar  (0:12; acumulado 18:50)</w:t>
      </w:r>
    </w:p>
    <w:p>
      <w:r>
        <w:t>As imagens históricas mostram trabalho, moradia e mar próximos, lidos com a noção de território usado, de Milton Santos.</w:t>
      </w:r>
    </w:p>
    <w:p>
      <w:pPr>
        <w:pStyle w:val="Heading2"/>
      </w:pPr>
      <w:r>
        <w:t>Slide 36 – As transformações: de vila a polo turístico  (0:10; acumulado 19:00)</w:t>
      </w:r>
    </w:p>
    <w:p>
      <w:r>
        <w:t>Com o turismo, a partir dos anos 1990, Pipa transformou-se, sem que as formas anteriores desaparecessem.</w:t>
      </w:r>
    </w:p>
    <w:p>
      <w:pPr>
        <w:pStyle w:val="Heading2"/>
      </w:pPr>
      <w:r>
        <w:t>Slide 37 – A Pipa de hoje: um território conectado  (0:26; acumulado 19:26)</w:t>
      </w:r>
    </w:p>
    <w:p>
      <w:r>
        <w:t>O registro atual demonstra essa coexistência: um pescador descarrega o pescado na enseada, com lanchas e escunas ao fundo, em barco de madeira com motor de popa. Para a escola, isso significa crianças com relações distintas com o mar, o trabalho e as tecnologias, o que denomino habitar digital.</w:t>
      </w:r>
    </w:p>
    <w:p>
      <w:pPr>
        <w:pStyle w:val="Heading2"/>
      </w:pPr>
      <w:r>
        <w:t>Slide 38 – A escola não se resume ao que falta  (0:10; acumulado 19:36)</w:t>
      </w:r>
    </w:p>
    <w:p>
      <w:r>
        <w:t>A escola não se define pela ausência: dispõe de acessibilidade e de um parque na restinga.</w:t>
      </w:r>
    </w:p>
    <w:p>
      <w:pPr>
        <w:pStyle w:val="Heading2"/>
      </w:pPr>
      <w:r>
        <w:t>Slide 39 – Na escola: o que existe e onde está  (0:16; acumulado 19:52)</w:t>
      </w:r>
    </w:p>
    <w:p>
      <w:r>
        <w:t>Quanto ao digital, porém, o laboratório estava desligado, haveria um só kit multimídia e as salas de 1º e 2º anos não tinham dispositivos, informações a verificar nos documentos.</w:t>
      </w:r>
    </w:p>
    <w:p>
      <w:pPr>
        <w:pStyle w:val="Heading2"/>
      </w:pPr>
      <w:r>
        <w:t>Slide 40 – Rugosidade tecnológica: perda ou ausência?  (0:15; acumulado 20:07)</w:t>
      </w:r>
    </w:p>
    <w:p>
      <w:r>
        <w:t>Com a noção de rugosidade, pergunto se o laboratório perdeu sua função ou se ela nunca se constituiu; cada hipótese pede uma resposta de política distinta.</w:t>
      </w:r>
    </w:p>
    <w:p>
      <w:pPr>
        <w:pStyle w:val="Heading2"/>
      </w:pPr>
      <w:r>
        <w:t>Slide 41 – Contribuições analíticas do capítulo  (0:10; acumulado 20:17)</w:t>
      </w:r>
    </w:p>
    <w:p>
      <w:r>
        <w:t>O capítulo propõe ler a escola como ponto de uma rede territorial, sem romantizar o improviso.</w:t>
      </w:r>
    </w:p>
    <w:p>
      <w:pPr>
        <w:pStyle w:val="Heading2"/>
      </w:pPr>
      <w:r>
        <w:t>Slide 42 – Parte VI – O que ainda falta  (0:06; acumulado 20:23)</w:t>
      </w:r>
    </w:p>
    <w:p>
      <w:r>
        <w:t>Por fim, apresento as etapas que ainda serão realizadas.</w:t>
      </w:r>
    </w:p>
    <w:p>
      <w:pPr>
        <w:pStyle w:val="Heading2"/>
      </w:pPr>
      <w:r>
        <w:t>Slide 43 – Onde estamos e o que falta  (0:11; acumulado 20:34)</w:t>
      </w:r>
    </w:p>
    <w:p>
      <w:r>
        <w:t>Restam a emenda ao Comitê de Ética, o registro dos critérios e a análise documental, antes do campo.</w:t>
      </w:r>
    </w:p>
    <w:p>
      <w:pPr>
        <w:pStyle w:val="Heading2"/>
      </w:pPr>
      <w:r>
        <w:t>Slide 44 – A questão aberta / Agradecimento  (0:24; acumulado 20:58)</w:t>
      </w:r>
    </w:p>
    <w:p>
      <w:r>
        <w:t>Concluo com a questão que orienta a tese: quando o equipamento e a formação não chegam à escola, quem arca com o custo dessa ausência, e o que isso representa para os direitos das crianças? Agradeço a atenção e coloco-me à disposição da banca.</w:t>
      </w:r>
    </w:p>
    <w:p>
      <w:pPr>
        <w:pStyle w:val="Heading2"/>
      </w:pPr>
      <w:r>
        <w:t>Slide 45 – Referências  (—; acumulado —)</w:t>
      </w:r>
    </w:p>
    <w:p>
      <w:r>
        <w:t>Slide de consulta; não apresentar.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