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b w:val="0"/>
          <w:i w:val="0"/>
        </w:rPr>
        <w:t xml:space="preserve">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dos anos iniciais registradas na pesquisa não dispunham de nenhum dispositivo digital. Esta tese procura compreender o que acontece no espaço que se abre entre a educação digital garantida pela lei e as condições concretas de que a escola dispõe.</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b w:val="0"/>
          <w:i w:val="0"/>
        </w:rPr>
        <w:t>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Por essa razão, as narrativas dos profissionais ocupam o centro da produção de dados.</w:t>
      </w:r>
    </w:p>
    <w:p>
      <w:pPr>
        <w:spacing w:line="360" w:lineRule="auto" w:after="0" w:before="0"/>
        <w:ind w:firstLine="709"/>
        <w:jc w:val="both"/>
      </w:pPr>
      <w:r>
        <w:rPr>
          <w:b w:val="0"/>
          <w:i w:val="0"/>
        </w:rPr>
        <w:t>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ficam, intencionalmente, fora do objeto empírico, reservados a pesquisas futuras.</w:t>
      </w:r>
    </w:p>
    <w:p>
      <w:pPr>
        <w:spacing w:line="360" w:lineRule="auto" w:after="0" w:before="0"/>
        <w:ind w:firstLine="709"/>
        <w:jc w:val="both"/>
      </w:pPr>
      <w:r>
        <w:rPr>
          <w:b w:val="0"/>
          <w:i w:val="0"/>
        </w:rPr>
        <w:t xml:space="preserve">Delimitada essa escala, é preciso explicitar o percurso de uma lei até a escola. Entre o texto oficial e o cotidiano escolar, as orientações encontram pessoas, limites institucionais, recursos desiguais e dinâmicas do território, e todos esses elementos interferem no modo como a norma ganha forma. Tomamos, então,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Para esta pesquisa, a formulação tem um sentido preciso. Ao chegar à Escola Municipal Domitila Castelo da Silva, o eixo Educação Digital Escolar será lido, adaptado e, possivelmente, transformado por quem trabalha nela, e a análise precisa acompanhar essas transformações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compreensão coerente com a escolha de tomar uma única escola como caso e de nela ouvir os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 xml:space="preserve">O recorte abrange toda a etapa dos anos iniciais, do 1º ao 5º ano, que inclui o ciclo de alfabetização, nos dois primeiros anos, e os anos em que a leitura e a escrita se consolidam. Acompanhamos o ciclo de alfabetização desde o mestrado; nesta tese, a aprendizagem da escrita e o desenvolvimento infantil ficam fora do objeto da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 xml:space="preserve">Com esse recorte, definimos o objeto desta pesquisa: a encenação da Política Nacional de Educação Digital, em seu eixo Educação Digital Escolar, pelos profissionais da educação que atuam nos anos iniciais do Ensino Fundamental, do 1º ao 5º ano, na Escola Municipal Domitila Castelo da Silva, em Pipa, distrito de Tibau do Sul, no litoral sul do Rio Grande do Norte. Chamamos de profissionais da educação as professoras e os professores do 1º ao 5º ano, a coordenação pedagógica, a direção e os demais profissionais ligados aos processos pedagógicos ou à educação digital. Interessam-nos os modos pelos quais a política é interpretada, traduzida e recontextualizada no contexto da prática, bem como o peso que têm nesse processo as culturas profissionais, as condições materiais e institucionais da escola e as especificidades socioespaciais do lugar onde ela está. O território, o funcionamento da escola e as condições de infraestrutura entram, assim, na análise como dimensões do contexto da prática, e as narrativas dos profissionais constituem o principal caminho para compreender como a política ganha forma no cotidiano escolar.</w:t>
      </w:r>
    </w:p>
    <w:p>
      <w:pPr>
        <w:spacing w:line="360" w:lineRule="auto" w:after="0" w:before="0"/>
        <w:ind w:firstLine="709"/>
        <w:jc w:val="both"/>
      </w:pPr>
      <w:r>
        <w:rPr>
          <w:b w:val="0"/>
          <w:i w:val="0"/>
        </w:rPr>
        <w:t>O objeto nos coloca diante de uma questão presente em toda a tese, a de saber o que acontece com uma política quando os direitos que ela institui não vêm acompanhados dos meios necessários para se realizarem. A seção 1.2 mostra como o próprio desenho da PNED produz essa situação, e a seção 1.5 apresenta a tese de partida com que a enfrentamos.</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Por essa razão, escolhemos olhar a política a partir dessas pessoas.</w:t>
      </w:r>
    </w:p>
    <w:p>
      <w:pPr>
        <w:spacing w:line="360" w:lineRule="auto" w:after="0" w:before="0"/>
        <w:ind w:firstLine="709"/>
        <w:jc w:val="both"/>
      </w:pPr>
      <w:r>
        <w:rPr>
          <w:b w:val="0"/>
          <w:i w:val="0"/>
        </w:rPr>
        <w:t>Duas noções ajudam a compreender por que a mesma política ganha formas diferentes em cada escola. A primeira é a de culturas profissionais. Ball, Maguire e Braun (2016) incluem os valores, os compromissos e as experiências dos professores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A segunda noção é a de performatividade, com a qual Ball (2004) descreve a cultura de metas, comparações e prestação de contas que passa a orientar o trabalho e a própria identidade dos profissionais da educação.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b w:val="0"/>
          <w:i w:val="0"/>
        </w:rPr>
        <w:t>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b w:val="0"/>
          <w:i w:val="0"/>
        </w:rPr>
        <w:t>A delimitação do campo em Pipa acrescenta à pesquisa condições próprias do território. O distrito, que foi vila de pescadores, integra um município de pequeno porte e passou a viver, a partir dos anos 1990, um turismo intenso, com relações econômicas, sociais e culturais que ultrapassam os limites locais. Para compreendê-lo, recorremos a Milton Santos (1999), para quem “o território não é uma categoria de análise, a categoria de análise é o território usado” (SANTOS, 1999, p. 18). O território usado, explica o autor, deve ser visto “como um campo de forças, como o lugar do exercício, de dialéticas e contradições entre o vertical e o horizontal, entre o Estado e o mercado, entre o uso econômico e o uso social dos recursos” (SANTOS, 1999, p. 19). Em Pipa, essa contradição tem expressão concreta. O distrito onde pousadas, restaurantes e passeios se vendem pela internet é o mesmo de onde as crianças saem, pela manhã, para salas de aula com carteiras enfileiradas, alfabeto móvel feito à mão e nenhuma tela.</w:t>
      </w:r>
    </w:p>
    <w:p>
      <w:pPr>
        <w:spacing w:line="360" w:lineRule="auto" w:after="0" w:before="0"/>
        <w:ind w:firstLine="709"/>
        <w:jc w:val="both"/>
      </w:pPr>
      <w:r>
        <w:rPr>
          <w:b w:val="0"/>
          <w:i w:val="0"/>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A expansão do turismo trouxe ao distrito trabalhadores de outras regiões, estrangeiros e novas formas de trabalho, e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b w:val="0"/>
          <w:i w:val="0"/>
        </w:rPr>
        <w:t>Esse desenho tende a pesar mais em municípios de pequeno porte, como aquele em que a pesquisa se desenvolve. Seria possível tratar a situação como simples falha de gestão local, leitura que recusamos por retirar de cena o desenho da lei e invisibilizar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Esta pesquisa assume a mesma cautela.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b w:val="0"/>
          <w:i w:val="0"/>
        </w:rPr>
        <w:t>O desenho da lei, a capacidade da rede, o tempo de trabalho, as desigualdades do território e a lacuna da literatura convergem, assim, para o trabalho de mediação realizado pelos profissionais em suas diferentes posições, feito de interpretações, traduções, escolhas e limites. É nesse trabalho que a análise se concentra.</w:t>
      </w:r>
    </w:p>
    <w:p>
      <w:pPr>
        <w:pStyle w:val="Heading2"/>
      </w:pPr>
      <w:r>
        <w:t>1.3 QUESTÃO DE PESQUISA E OBJETIVOS</w:t>
      </w:r>
    </w:p>
    <w:p>
      <w:pPr>
        <w:spacing w:line="360" w:lineRule="auto" w:after="0" w:before="0"/>
        <w:ind w:firstLine="709"/>
        <w:jc w:val="both"/>
      </w:pPr>
      <w:r>
        <w:rPr>
          <w:b w:val="0"/>
          <w:i w:val="0"/>
        </w:rPr>
        <w:t xml:space="preserve">Desse percurso nasce a questão que orienta a investigação: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pPr>
        <w:spacing w:line="360" w:lineRule="auto" w:after="0" w:before="0"/>
        <w:ind w:firstLine="709"/>
        <w:jc w:val="both"/>
      </w:pPr>
      <w:r>
        <w:rPr>
          <w:b w:val="0"/>
          <w:i w:val="0"/>
        </w:rPr>
        <w:t>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resistência, nomeada no título, entra nesse quadro como possibilidade de interesse, que poderá aparecer ou não nos dados e que, se aparecer, será lida em relação às condições em que se constitui, às demandas a que responde e aos efeitos que produz no cotidiano escolar. A questão desdobra-se no objetivo geral e em quatro objetivos específicos.</w:t>
      </w:r>
    </w:p>
    <w:p>
      <w:pPr>
        <w:spacing w:line="360" w:lineRule="auto" w:after="0" w:before="0"/>
        <w:ind w:firstLine="709"/>
        <w:jc w:val="both"/>
      </w:pPr>
      <w:r>
        <w:rPr>
          <w:b w:val="0"/>
          <w:i w:val="0"/>
        </w:rPr>
        <w:t xml:space="preserve">O objetivo geral é 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 São objetivos específicos:</w:t>
      </w:r>
    </w:p>
    <w:p>
      <w:pPr>
        <w:spacing w:line="360" w:lineRule="auto" w:after="0" w:before="0"/>
        <w:ind w:left="1049" w:hanging="340"/>
        <w:jc w:val="both"/>
      </w:pPr>
      <w:r>
        <w:rPr>
          <w:b w:val="0"/>
          <w:i w:val="0"/>
        </w:rPr>
        <w:t>a) compreender como os diferentes profissionais da educação interpretam os textos da PNED e os discursos sobre educação digital, considerando suas experiências, crenças, valores e formas de organização do trabalho;</w:t>
      </w:r>
    </w:p>
    <w:p>
      <w:pPr>
        <w:spacing w:line="360" w:lineRule="auto" w:after="0" w:before="0"/>
        <w:ind w:left="1049" w:hanging="340"/>
        <w:jc w:val="both"/>
      </w:pPr>
      <w:r>
        <w:rPr>
          <w:b w:val="0"/>
          <w:i w:val="0"/>
        </w:rPr>
        <w:t>b) analisar como as condições materiais e institucionais da escola, articuladas às especificidades socioespaciais do território, atravessam os processos de tradução e recontextualização da PNED em ações, escolhas e práticas cotidianas;</w:t>
      </w:r>
    </w:p>
    <w:p>
      <w:pPr>
        <w:spacing w:line="360" w:lineRule="auto" w:after="0" w:before="0"/>
        <w:ind w:left="1049" w:hanging="340"/>
        <w:jc w:val="both"/>
      </w:pPr>
      <w:r>
        <w:rPr>
          <w:b w:val="0"/>
          <w:i w:val="0"/>
        </w:rPr>
        <w:t>c) identificar as diferentes formas de atuação produzidas diante da política, com atenção às situações em que emergem adesão, acomodação, adaptação, omissão seletiva, negociação, ressignificação ou resistência;</w:t>
      </w:r>
    </w:p>
    <w:p>
      <w:pPr>
        <w:spacing w:line="360" w:lineRule="auto" w:after="0" w:before="0"/>
        <w:ind w:left="1049" w:hanging="340"/>
        <w:jc w:val="both"/>
      </w:pPr>
      <w:r>
        <w:rPr>
          <w:b w:val="0"/>
          <w:i w:val="0"/>
        </w:rPr>
        <w:t>d) discutir as implicações das diferentes formas de encenação da PNED para a educação digital das crianças, considerando as possibilidades de provisão, proteção e participação no ambiente digital.</w:t>
      </w:r>
    </w:p>
    <w:p>
      <w:pPr>
        <w:spacing w:line="360" w:lineRule="auto" w:after="0" w:before="240"/>
        <w:ind w:firstLine="709"/>
        <w:jc w:val="both"/>
      </w:pPr>
      <w:r>
        <w:rPr>
          <w:b w:val="0"/>
          <w:i w:val="0"/>
        </w:rPr>
        <w:t>Os quatro objetivos seguem o caminho que a própria política percorre até chegar às crianças. O primeiro se detém nos sujeitos e no modo como leem a política a partir do que já sabem, acreditam e praticam. O segundo leva essa leitura para as condições em que ela acontece, dentro da escola e no território, e é nele que Pipa entra como dimensão do contexto da política.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b w:val="0"/>
          <w:i w:val="0"/>
        </w:rPr>
        <w:t>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Os autores propõem quatro dimensões do contexto que orientarão a análise: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A performatividade (BALL, 2004)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Todas essas noções funcionam como lentes de leitura, que orientam o olhar sobre os dados sem antecipar o que será encontrado.</w:t>
      </w:r>
    </w:p>
    <w:p>
      <w:pPr>
        <w:spacing w:line="360" w:lineRule="auto" w:after="0" w:before="0"/>
        <w:ind w:firstLine="709"/>
        <w:jc w:val="both"/>
      </w:pPr>
      <w:r>
        <w:rPr>
          <w:b w:val="0"/>
          <w:i w:val="0"/>
        </w:rPr>
        <w:t xml:space="preserve">Para ler o território, articulamos Santos e Massey. Em </w:t>
      </w:r>
      <w:r>
        <w:rPr>
          <w:b w:val="0"/>
          <w:i/>
        </w:rPr>
        <w:t>A natureza do espaço</w:t>
      </w:r>
      <w:r>
        <w:rPr>
          <w:b w:val="0"/>
          <w:i w:val="0"/>
        </w:rPr>
        <w:t xml:space="preserve">, Santos (2006) compreende o espaço como conjunto indissociável de sistemas de objetos e de sistemas de ações e mostra que os lugares guardam formas herdadas de outros períodos, que ele chama de rugosidades. Em </w:t>
      </w:r>
      <w:r>
        <w:rPr>
          <w:b w:val="0"/>
          <w:i/>
        </w:rPr>
        <w:t>Espaço e método</w:t>
      </w:r>
      <w:r>
        <w:rPr>
          <w:b w:val="0"/>
          <w:i w:val="0"/>
        </w:rPr>
        <w:t>, o autor lembra que “as rugosidades – formas remanescentes dos períodos anteriores – devem ser levadas em conta quando uma sociedade procura impor novas funções” (SANTOS, 2012, p. 75). Massey (2008), por sua vez, permite ler Pipa como lugar de encontro de trajetórias diversas, que chegam à escola na forma das famílias e das crianças que ela atende.</w:t>
      </w:r>
    </w:p>
    <w:p>
      <w:pPr>
        <w:spacing w:line="360" w:lineRule="auto" w:after="0" w:before="0"/>
        <w:ind w:firstLine="709"/>
        <w:jc w:val="both"/>
      </w:pPr>
      <w:r>
        <w:rPr>
          <w:b w:val="0"/>
          <w:i w:val="0"/>
        </w:rPr>
        <w:t>Para responder à questão, adotamos abordagem qualitativa, de natureza interpretativa (MINAYO, 2009), e organizamos a investigação como estudo de caso único.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não pretende representar outras escolas; seu propósito é compreender a fundo uma realidade singular.</w:t>
      </w:r>
    </w:p>
    <w:p>
      <w:pPr>
        <w:spacing w:line="360" w:lineRule="auto" w:after="0" w:before="0"/>
        <w:ind w:firstLine="709"/>
        <w:jc w:val="both"/>
      </w:pPr>
      <w:r>
        <w:rPr>
          <w:b w:val="0"/>
          <w:i w:val="0"/>
        </w:rPr>
        <w:t xml:space="preserve">Participam os profissionais da educação que atuam nos anos iniciais da escola e aceitarem o convite: docentes do 1º ao 5º ano, coordenação pedagógica, direção e demais profissionais ligados aos processos pedagógicos ou à educação digital [indicar o número de participantes por função]. Participa também um técnico da Secretaria Municipal de Educação ligado às ações de educação digital no município. Sua escuta é fonte complementar sobre o contexto externo, isto é, sobre como as orientações nacionais são recebidas e encaminhadas pela gestão municipal antes de chegar à escola, e a unidade do estudo permanece na encenação da PNED na Escola Municipal Domitila Castelo da Silva.</w:t>
      </w:r>
    </w:p>
    <w:p>
      <w:pPr>
        <w:spacing w:line="360" w:lineRule="auto" w:after="0" w:before="0"/>
        <w:ind w:firstLine="709"/>
        <w:jc w:val="both"/>
      </w:pPr>
      <w:r>
        <w:rPr>
          <w:b w:val="0"/>
          <w:i w:val="0"/>
        </w:rPr>
        <w:t>Os dados serão construídos em cinco movimentos. O primeiro é a análise documental da Lei nº 14.533/2023, da Resolução CNE/CEB nº 2/2025, dos documentos curriculares, dos documentos da Secretaria Municipal de Educação e dos registros da escola, entre eles o Projeto Político-Pedagógico (PPP), os planos de aula, as atas e os registros de formação. O segundo é o registro iconográfico,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com os profissionais da escola e com o técnico da Secretaria,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imagens, questionário e entrevistas, e se encerra com a devolutiva dos resultados à escola e à Secretaria. Esta pesquisa não observa aulas, e as práticas chegam à análise pelas narrativas dos participantes, enquanto as condições materiais chegam pelos documentos e pelo registro iconográfico. O registro iconográfico e a consulta ao acervo histórico já foram realizados e sustentam o Capítulo 6; os demais movimentos ocorrerão após a aprovação do Comitê de Ética em Pesquisa.</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b w:val="0"/>
          <w:i w:val="0"/>
        </w:rPr>
        <w:t>A palavra “resistências” está no título da tese por uma escolha deliberada, que pede um cuidado correspondente. A resistência será tratada como uma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Essa abertura mantém a resistência como problema relevante para a tese sem transformá-la em conclusão antecipada.</w:t>
      </w:r>
    </w:p>
    <w:p>
      <w:pPr>
        <w:spacing w:line="360" w:lineRule="auto" w:after="0" w:before="0"/>
        <w:ind w:firstLine="709"/>
        <w:jc w:val="both"/>
      </w:pPr>
      <w:r>
        <w:rPr>
          <w:b w:val="0"/>
          <w:i w:val="0"/>
        </w:rPr>
        <w:t xml:space="preserve">A tese dialoga ainda com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b w:val="0"/>
          <w:i/>
        </w:rPr>
        <w:t>O habitar do ensinar e do aprender OnLIFE</w:t>
      </w:r>
      <w:r>
        <w:rPr>
          <w:b w:val="0"/>
          <w:i w:val="0"/>
        </w:rPr>
        <w:t xml:space="preserve">, organizado por Schlemmer </w:t>
      </w:r>
      <w:r>
        <w:rPr>
          <w:b w:val="0"/>
          <w:i/>
        </w:rPr>
        <w:t>et al.</w:t>
      </w:r>
      <w:r>
        <w:rPr>
          <w:b w:val="0"/>
          <w:i w:val="0"/>
        </w:rPr>
        <w:t xml:space="preserve"> (2021), o habitar é tomado como experiência relacional, constituída pelas relações entre sujeitos, ambientes, tecnologias e redes. Di Felice (2009), em </w:t>
      </w:r>
      <w:r>
        <w:rPr>
          <w:b w:val="0"/>
          <w:i/>
        </w:rPr>
        <w:t>Paisagens pós-urbanas</w:t>
      </w:r>
      <w:r>
        <w:rPr>
          <w:b w:val="0"/>
          <w:i w:val="0"/>
        </w:rPr>
        <w:t>, retoma a tradição filosófica do habitar e mostra como as tecnologias de comunicação transformam a relação entre sujeito, meios e território, descrevendo, com as redes digitais, um habitar atópico. Somadas às leituras de Santos e de Massey, essas contribuições permitem nomear uma tensão específica de Pipa, a coexistência de elevada densidade tecnológica nos circuitos econômicos e turísticos do distrito com uma disponibilidade muito mais limitada de tecnologias nos espaços pedagógicos da escola.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b w:val="0"/>
          <w:i w:val="0"/>
        </w:rPr>
        <w:t>O ineditismo da pesquisa tem três dimensões. A primeira é empírico-temporal, pois a investigação acompanha a chegada da PNED à escola no momento em que a exigência curricular se torna obrigatória e ocupa uma lacuna identificada pela RSL. A segunda é analítico-espacial, porque o território de Pipa entra na análise como dimensão constitutiva do contexto da prática, com o peso que Santos e Massey lhe atribuem. A terceira é teórico-conceitual. Ao articular a teoria da atuação, as culturas profissionais, a dimensão material da escola e a leitura do território, e ao propor a noção de habitar o digital, a tese trata a distância entre a norma e a sala de aula como parte de uma relação política entre texto, contexto e sujeitos, sem classificá-la de imediato como falha, incapacidade ou resistência. A pergunta que interessa, assim, diz respeito ao que acontece com a PNED quando encontra uma escola, seus profissionais, suas condições materiais e um território específico, e é nesse encontro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e nas condições institucionais de seu trabalho.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b w:val="0"/>
          <w:i w:val="0"/>
        </w:rPr>
        <w:t>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2022), que localiza a lacuna ocupada pela tese. No terceiro, “Nenhum chão sob os pés: cultura e cibercultura no tempo que não se fixa”, ainda em construção, desenvolvemos o alicerce conceitual da investigação: cultura, cibercultura e cultura digital; temporalidade, mediações e experiência; governança de dados, poder e subjetividades no digital; a noção de habitar o digital; e a relação entre educação digital, culturas profissionais, performatividade e direitos da criança no ambiente digital.</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o território de Pipa como contexto da prática da educação digital”, damos materialidade às dimensões situacional e material do contexto e oferecemos a base para o objetivo específico (b), apresentando a história e as transformações do distrito, a diversidade de quem a escola atende e as condições materiais da escola, onde documentamos o habitar o digital e a rugosidade tecnológica.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jc w:val="center"/>
      </w:pPr>
      <w:r>
        <w:t>REFERÊNCIAS</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uma nova política da espacialidade.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a ascensão dos dados e a morte da política.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técnica e tempo, razão e emoção. 4. ed. São Paulo: Edusp,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footerReference w:type="default" r:id="rId10"/>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