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na coordenação, na direção ou nas demais funções, essa variação será descrita como achado. A direção tem um participante,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Um técnico da Secretaria Municipal de Educação ligado às ações de educação digital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docentes das turmas, os quatro profissionais da coordenação pedagógica, a direção escolar e os demais profissionais que participam do trabalho pedagógico dessas turmas, como os do apoio pedagógico e do atendimento educacional especializado, quando houver [indicar o número de participantes por função]. Participa também um técnico da Secretaria Municipal de Educação,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w:t>
      </w:r>
      <w:r>
        <w:rPr>
          <w:rFonts w:ascii="Times New Roman" w:hAnsi="Times New Roman"/>
          <w:sz w:val="24"/>
        </w:rPr>
        <w:t>os</w:t>
      </w:r>
      <w:r>
        <w:rPr>
          <w:rFonts w:ascii="Times New Roman" w:hAnsi="Times New Roman"/>
          <w:sz w:val="24"/>
        </w:rPr>
        <w:t xml:space="preserve"> profissionais da coordenação pedagógica, </w:t>
      </w:r>
      <w:r>
        <w:rPr>
          <w:rFonts w:ascii="Times New Roman" w:hAnsi="Times New Roman"/>
          <w:sz w:val="24"/>
        </w:rPr>
        <w:t>a</w:t>
      </w:r>
      <w:r>
        <w:rPr>
          <w:rFonts w:ascii="Times New Roman" w:hAnsi="Times New Roman"/>
          <w:sz w:val="24"/>
        </w:rPr>
        <w:t xml:space="preserve"> direção da unidade e </w:t>
      </w:r>
      <w:r>
        <w:rPr>
          <w:rFonts w:ascii="Times New Roman" w:hAnsi="Times New Roman"/>
          <w:sz w:val="24"/>
        </w:rPr>
        <w:t>os demais profissionais ligados ao trabalho pedagógico</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os profissionais da coordenação pedagógica, </w:t>
      </w:r>
      <w:r>
        <w:rPr>
          <w:rFonts w:ascii="Times New Roman" w:hAnsi="Times New Roman"/>
          <w:sz w:val="24"/>
        </w:rPr>
        <w:t>a direção escolar e o técnico</w:t>
      </w:r>
      <w:r>
        <w:rPr>
          <w:rFonts w:ascii="Times New Roman" w:hAnsi="Times New Roman"/>
          <w:sz w:val="24"/>
        </w:rPr>
        <w:t xml:space="preserve"> da Secretaria Municipal de Educação,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a amostragem intencional não permite</w:t>
      </w:r>
      <w:r>
        <w:rPr>
          <w:rFonts w:ascii="Times New Roman" w:hAnsi="Times New Roman"/>
          <w:sz w:val="24"/>
        </w:rPr>
        <w:t xml:space="preserve"> generalizar os resultados para a população, </w:t>
      </w:r>
      <w:r>
        <w:rPr>
          <w:rFonts w:ascii="Times New Roman" w:hAnsi="Times New Roman"/>
          <w:sz w:val="24"/>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w:t>
      </w:r>
    </w:p>
    <w:p>
      <w:pPr>
        <w:spacing w:line="240" w:lineRule="auto" w:after="240"/>
        <w:jc w:val="left"/>
      </w:pPr>
      <w:r>
        <w:rPr>
          <w:rFonts w:ascii="Times New Roman" w:hAnsi="Times New Roman"/>
          <w:sz w:val="24"/>
        </w:rPr>
        <w:t>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TIBAU DO SUL. Secretaria de Educação. Relatório sintético de turmas: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