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ind w:firstLine="0"/>
        <w:jc w:val="center"/>
      </w:pPr>
      <w:r>
        <w:rPr>
          <w:b/>
          <w:i w:val="0"/>
        </w:rPr>
        <w:t>UNIVERSIDADE FEDERAL DO RIO GRANDE DO NORTE</w:t>
      </w:r>
    </w:p>
    <w:p>
      <w:pPr>
        <w:spacing w:line="360" w:lineRule="auto" w:after="0" w:before="0"/>
        <w:ind w:firstLine="0"/>
        <w:jc w:val="center"/>
      </w:pPr>
      <w:r>
        <w:rPr>
          <w:b/>
          <w:i w:val="0"/>
        </w:rPr>
        <w:t>CENTRO DE EDUCAÇÃO</w:t>
      </w:r>
    </w:p>
    <w:p>
      <w:pPr>
        <w:spacing w:line="360" w:lineRule="auto" w:after="0" w:before="0"/>
        <w:ind w:firstLine="0"/>
        <w:jc w:val="center"/>
      </w:pPr>
      <w:r>
        <w:rPr>
          <w:b/>
          <w:i w:val="0"/>
        </w:rPr>
        <w:t>PROGRAMA DE PÓS-GRADUAÇÃO EM EDUCAÇÃO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YZYNYA SILVA REZENDE MACHADO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i w:val="0"/>
        </w:rPr>
        <w:t>A ENCENAÇÃO DA POLÍTICA NACIONAL DE EDUCAÇÃO DIGITAL (PNED) EM PIPA/RN: CULTURAS PROFISSIONAIS, TERRITÓRIO E RESISTÊNCIAS NO CONTEXTO DA PRÁTICA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NATAL</w:t>
      </w:r>
    </w:p>
    <w:p>
      <w:pPr>
        <w:spacing w:line="360" w:lineRule="auto" w:after="0" w:before="0"/>
        <w:ind w:firstLine="0"/>
        <w:jc w:val="center"/>
      </w:pPr>
      <w:r>
        <w:rPr>
          <w:b w:val="0"/>
          <w:i w:val="0"/>
        </w:rPr>
        <w:t>2026</w:t>
      </w:r>
    </w:p>
    <w:p>
      <w:r>
        <w:br w:type="page"/>
      </w:r>
    </w:p>
    <w:p>
      <w:pPr>
        <w:spacing w:line="360" w:lineRule="auto" w:after="0" w:before="0"/>
        <w:ind w:firstLine="0"/>
        <w:jc w:val="center"/>
      </w:pPr>
      <w:r>
        <w:rPr>
          <w:b w:val="0"/>
          <w:i w:val="0"/>
        </w:rPr>
        <w:t>YZYNYA SILVA REZENDE MACHADO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i w:val="0"/>
        </w:rPr>
        <w:t>A ENCENAÇÃO DA POLÍTICA NACIONAL DE EDUCAÇÃO DIGITAL (PNED) EM PIPA/RN: CULTURAS PROFISSIONAIS, TERRITÓRIO E RESISTÊNCIAS NO CONTEXTO DA PRÁTICA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240" w:lineRule="auto" w:after="240" w:before="0"/>
        <w:ind w:firstLine="0" w:left="4535"/>
        <w:jc w:val="both"/>
      </w:pPr>
      <w:r>
        <w:rPr>
          <w:b w:val="0"/>
          <w:i w:val="0"/>
        </w:rPr>
        <w:t>Projeto de tese apresentado ao Programa de Pós-Graduação em Educação da Universidade Federal do Rio Grande do Norte, como parte dos requisitos do curso de Doutorado em Educação.</w:t>
      </w:r>
    </w:p>
    <w:p>
      <w:pPr>
        <w:spacing w:line="240" w:lineRule="auto" w:after="240" w:before="0"/>
        <w:ind w:firstLine="0" w:left="4535"/>
        <w:jc w:val="both"/>
      </w:pPr>
      <w:r>
        <w:rPr>
          <w:b w:val="0"/>
          <w:i w:val="0"/>
        </w:rPr>
        <w:t>Linha de pesquisa: [indicar].</w:t>
      </w:r>
    </w:p>
    <w:p>
      <w:pPr>
        <w:spacing w:line="240" w:lineRule="auto" w:after="0" w:before="0"/>
        <w:ind w:firstLine="0" w:left="4535"/>
        <w:jc w:val="both"/>
      </w:pPr>
      <w:r>
        <w:rPr>
          <w:b w:val="0"/>
          <w:i w:val="0"/>
        </w:rPr>
        <w:t>Orientadora: Profa. Dra. Maria Cristina Leandro de Paiva.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NATAL</w:t>
      </w:r>
    </w:p>
    <w:p>
      <w:pPr>
        <w:spacing w:line="360" w:lineRule="auto" w:after="0" w:before="0"/>
        <w:ind w:firstLine="0"/>
        <w:jc w:val="center"/>
      </w:pPr>
      <w:r>
        <w:rPr>
          <w:b w:val="0"/>
          <w:i w:val="0"/>
        </w:rPr>
        <w:t>2026</w:t>
      </w:r>
    </w:p>
    <w:p>
      <w:pPr>
        <w:pageBreakBefore/>
        <w:spacing w:after="360"/>
        <w:jc w:val="center"/>
      </w:pPr>
      <w:r>
        <w:rPr>
          <w:b/>
        </w:rPr>
        <w:t>SUMÁRIO</w:t>
      </w:r>
    </w:p>
    <w:p>
      <w:r>
        <w:fldChar w:fldCharType="begin"/>
      </w:r>
      <w:r>
        <w:instrText xml:space="preserve">TOC \o "1-2" \h \z \u</w:instrText>
      </w:r>
      <w:r>
        <w:fldChar w:fldCharType="separate"/>
      </w:r>
      <w:r>
        <w:t>Para gerar o sumário, clique com o botão direito aqui e escolha "Atualizar campo".</w:t>
      </w:r>
      <w:r>
        <w:fldChar w:fldCharType="end"/>
      </w:r>
    </w:p>
    <w:p>
      <w:pPr>
        <w:sectPr>
          <w:headerReference w:type="default" r:id="rId10"/>
          <w:footerReference w:type="default" r:id="rId11"/>
          <w:pgSz w:w="11906" w:h="16838"/>
          <w:pgMar w:top="1701" w:right="1134" w:bottom="1134" w:left="1701" w:header="1134" w:footer="720" w:gutter="0"/>
          <w:cols w:space="720"/>
          <w:docGrid w:linePitch="360"/>
        </w:sectPr>
      </w:pPr>
    </w:p>
    <w:p>
      <w:pPr>
        <w:pStyle w:val="Heading1"/>
        <w:pageBreakBefore w:val="0"/>
      </w:pPr>
      <w:r>
        <w:t>1 OBJETO</w:t>
      </w:r>
    </w:p>
    <w:p>
      <w:pPr>
        <w:spacing w:line="360" w:lineRule="auto" w:after="0" w:before="0"/>
        <w:ind w:firstLine="709"/>
        <w:jc w:val="both"/>
      </w:pPr>
      <w:r>
        <w:rPr>
          <w:b w:val="0"/>
          <w:i w:val="0"/>
        </w:rPr>
        <w:t xml:space="preserve">Esta pesquisa investiga a encenação da Política Nacional de Educação Digital (PNED), instituída pela Lei nº 14.533/2023, em seu eixo Educação Digital Escolar, pelos profissionais da educação que atuam nos anos iniciais do Ensino Fundamental, do 1º ao 5º ano, na Escola Municipal Domitila Castelo da Silva, em Pipa, distrito de Tibau do Sul, no litoral sul do Rio Grande do Norte. Interessam-nos os modos pelos quais essa política é interpretada, traduzida e recontextualizada no contexto da prática, bem como o peso que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Uma política não se faz apenas na sala de aula, e o planejamento, a organização do tempo e dos espaços, os registros e as conversas entre colegas também são lugares onde ela ganha forma.</w:t>
      </w:r>
    </w:p>
    <w:p>
      <w:pPr>
        <w:spacing w:line="360" w:lineRule="auto" w:after="0" w:before="0"/>
        <w:ind w:firstLine="709"/>
        <w:jc w:val="both"/>
      </w:pPr>
      <w:r>
        <w:rPr>
          <w:b w:val="0"/>
          <w:i w:val="0"/>
        </w:rPr>
        <w:t>A escolha da escola e do território tem razões que vão além da delimitação do campo. Ao chegar a uma escola concreta, uma política de alcance nacional encontra uma história, um prédio, equipamentos que existem ou que faltam, profissionais com trajetórias e modos próprios de trabalhar e crianças que vêm de famílias e de ruas determinadas.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Conhecemos essa paisagem de perto, pois a pesquisadora convive com Pipa há cerca de duas décadas e trabalha há dezoito anos na rede municipal de Tibau do Sul. Essa proximidade exige vigilância metodológica e, ao mesmo tempo, é dela que nasce a pergunta sobre o que acontece com uma política nacional quando encontra uma escola situada, seus profissionais, suas condições e seu território.</w:t>
      </w:r>
    </w:p>
    <w:p>
      <w:pPr>
        <w:spacing w:line="360" w:lineRule="auto" w:after="0" w:before="0"/>
        <w:ind w:firstLine="709"/>
        <w:jc w:val="both"/>
      </w:pPr>
      <w:r>
        <w:rPr>
          <w:b w:val="0"/>
          <w:i w:val="0"/>
        </w:rPr>
        <w:t xml:space="preserve">Para ler esse encontro, recorremos à teoria da atuação de Ball, Maguire e Braun (2016), que traduzimos também por encenação, termo com que os estudos brasileiros têm vertido a palavra </w:t>
      </w:r>
      <w:r>
        <w:rPr>
          <w:b w:val="0"/>
          <w:i/>
        </w:rPr>
        <w:t>enactment</w:t>
      </w:r>
      <w:r>
        <w:rPr>
          <w:b w:val="0"/>
          <w:i w:val="0"/>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A ideia de encenação acentua esse caráter produtivo, já que, na escola, a política toma corpo nas falas, nos registros, nos arranjos de tempo e espaço e nas práticas de quem a recebe e precisa dar conta dela. É com esse entendimento que formulamos a questão que orienta a investigação.</w:t>
      </w:r>
    </w:p>
    <w:p>
      <w:pPr>
        <w:pStyle w:val="Heading1"/>
        <w:pageBreakBefore/>
      </w:pPr>
      <w:r>
        <w:t>2 QUESTÃO DE PESQUISA</w:t>
      </w:r>
    </w:p>
    <w:p>
      <w:pPr>
        <w:spacing w:line="360" w:lineRule="auto" w:after="0" w:before="0"/>
        <w:ind w:firstLine="709"/>
        <w:jc w:val="both"/>
      </w:pPr>
      <w:r>
        <w:rPr>
          <w:b w:val="0"/>
          <w:i w:val="0"/>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b w:val="0"/>
          <w:i w:val="0"/>
        </w:rPr>
        <w:t>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resistência, nomeada no título, entra nesse quadro como uma possibilidade de interesse da pesquisa, que poderá aparecer ou não nos dados. Se aparecer, será lida em relação às condições em que se constitui, às demandas a que responde e aos efeitos que produz no cotidiano escolar. A investigação se volta, assim, para os processos pelos quais a política adquire, no dia a dia da escola, sentidos e formas de existência diversos, o que pede uma pergunta mais ampla que a do seu cumprimento.</w:t>
      </w:r>
    </w:p>
    <w:p>
      <w:pPr>
        <w:spacing w:line="360" w:lineRule="auto" w:after="0" w:before="0"/>
        <w:ind w:firstLine="709"/>
        <w:jc w:val="both"/>
      </w:pPr>
      <w:r>
        <w:rPr>
          <w:b w:val="0"/>
          <w:i w:val="0"/>
        </w:rPr>
        <w:t>Dessa questão decorrem o objetivo geral e os objetivos específicos que organizam o percurso da pesquisa.</w:t>
      </w:r>
    </w:p>
    <w:p>
      <w:pPr>
        <w:pStyle w:val="Heading1"/>
        <w:pageBreakBefore/>
      </w:pPr>
      <w:r>
        <w:t>3 OBJETIVOS</w:t>
      </w:r>
    </w:p>
    <w:p>
      <w:pPr>
        <w:pStyle w:val="Heading2"/>
      </w:pPr>
      <w:r>
        <w:t>3.1 OBJETIVO GERAL</w:t>
      </w:r>
    </w:p>
    <w:p>
      <w:pPr>
        <w:spacing w:line="360" w:lineRule="auto" w:after="0" w:before="0"/>
        <w:ind w:firstLine="709"/>
        <w:jc w:val="both"/>
      </w:pPr>
      <w:r>
        <w:rPr>
          <w:b w:val="0"/>
          <w:i w:val="0"/>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pPr>
        <w:pStyle w:val="Heading2"/>
      </w:pPr>
      <w:r>
        <w:t>3.2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adesão,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b w:val="0"/>
          <w:i w:val="0"/>
        </w:rPr>
        <w:t>Os quatro objetivos seguem o caminho que a própria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por fim, acompanha a política até as crianças, a quem ela se dirige e em nome de quem se justifica, e examina como as formas de encenação identificadas ampliam, limitam ou reorganizam as possibilidades de provisão, proteção e participação no ambiente digital (ONU, 2021).</w:t>
      </w:r>
    </w:p>
    <w:p>
      <w:pPr>
        <w:pStyle w:val="Heading1"/>
        <w:pageBreakBefore/>
      </w:pPr>
      <w:r>
        <w:t>4 RELEVÂNCIA E INEDITISMO</w:t>
      </w:r>
    </w:p>
    <w:p>
      <w:pPr>
        <w:spacing w:line="360" w:lineRule="auto" w:after="0" w:before="0"/>
        <w:ind w:firstLine="709"/>
        <w:jc w:val="both"/>
      </w:pPr>
      <w:r>
        <w:rPr>
          <w:b w:val="0"/>
          <w:i w:val="0"/>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pPr>
        <w:spacing w:line="360" w:lineRule="auto" w:after="0" w:before="0"/>
        <w:ind w:firstLine="709"/>
        <w:jc w:val="both"/>
      </w:pPr>
      <w:r>
        <w:rPr>
          <w:b w:val="0"/>
          <w:i w:val="0"/>
        </w:rPr>
        <w:t xml:space="preserve">A pesquisa acontece, portanto, no momento em que esse conjunto de normas deixa o papel e começa a chegar às redes e às escolas. Em Tibau do Sul, como em muitos municípios de pequeno porte,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Por isso, procuramos compreender como uma política pensada em escala nacional encontra uma escola de pequeno porte, situada num território com particularidades sociais, econômicas, culturais e tecnológicas, e o que resulta desse encontro. O caráter inédito da proposta pode ser descrito em três dimensões, que se apoiam umas nas outras.</w:t>
      </w:r>
    </w:p>
    <w:p>
      <w:pPr>
        <w:pStyle w:val="Heading2"/>
      </w:pPr>
      <w:r>
        <w:t>4.1 INEDITISMO EMPÍRICO-TEMPORAL</w:t>
      </w:r>
    </w:p>
    <w:p>
      <w:pPr>
        <w:spacing w:line="360" w:lineRule="auto" w:after="0" w:before="0"/>
        <w:ind w:firstLine="709"/>
        <w:jc w:val="both"/>
      </w:pPr>
      <w:r>
        <w:rPr>
          <w:b w:val="0"/>
          <w:i w:val="0"/>
        </w:rPr>
        <w:t>A primeira dimensão diz respeito ao objeto e ao tempo em que ele é estudado. A pesquisa acompanha a chegada da PNED ao cotidiano escolar no período em que a educação digital e midiática começa a ser incorporada aos currículos de modo mais sistemático. Na revisão sistemática realizada para esta tese, as buscas em sete bases retornaram 176 registros e resultaram num corpus de nove estudos, publicados entre 2021 e 2024. Nenhum deles se dedica especificamente à PNED, e nenhum investiga a atuação dessa política numa rede municipal de pequeno porte. A novidade da lei, por si, justificaria pouco a investigação. O que dá relevância ao estudo é a possibilidade de documentar um momento inicial de tradução de uma política nacional no interior de uma escola específica, acompanhando as mediações, as escolhas e as tensões que esse processo produz enquanto ele ainda está em curso.</w:t>
      </w:r>
    </w:p>
    <w:p>
      <w:pPr>
        <w:pStyle w:val="Heading2"/>
      </w:pPr>
      <w:r>
        <w:t>4.2 INEDITISMO ANALÍTICO-ESPACIAL</w:t>
      </w:r>
    </w:p>
    <w:p>
      <w:pPr>
        <w:spacing w:line="360" w:lineRule="auto" w:after="0" w:before="0"/>
        <w:ind w:firstLine="709"/>
        <w:jc w:val="both"/>
      </w:pPr>
      <w:r>
        <w:rPr>
          <w:b w:val="0"/>
          <w:i w:val="0"/>
        </w:rPr>
        <w:t>A segunda dimensão está no lugar que o território ocupa na análise. Pipa entra nesta pesquisa como parte do contexto em que a política é encenada. O distrito, que foi vila de pescadores e se transformou, a partir dos anos 1990, em destino turístico internacional, é hoje marcado pelo turismo, pela circulação de grupos sociais muito diferentes e por experiências desiguais de acesso, de uso e de participação na cultura digital. Para ler esse território, partimos de Santos (1999, p. 18), para quem “o território não é uma categoria de análise, a categoria de análise é o território usado”, isto é, o território tomado pelas relações, pelos usos e pelos conflitos que o constituem. Em diálogo com essa perspectiva, Massey (2008) compreende o espaço como a esfera da coexistência e da multiplicidade, feita de relações e de trajetórias que se encontram sem formar uma unidade homogênea, e pensa o lugar como encontro sempre em construção.</w:t>
      </w:r>
    </w:p>
    <w:p>
      <w:pPr>
        <w:spacing w:line="360" w:lineRule="auto" w:after="0" w:before="0"/>
        <w:ind w:firstLine="709"/>
        <w:jc w:val="both"/>
      </w:pPr>
      <w:r>
        <w:rPr>
          <w:b w:val="0"/>
          <w:i w:val="0"/>
        </w:rPr>
        <w:t>Essa leitura interessa à pesquisa porque permite olhar para a escola como um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Com Santos e Massey, perguntamos como as características do território entram nas relações pelas quais a política é interpretada e traduzida, sem atribuir ao lugar o poder de determinar o que a escola faz com ela.</w:t>
      </w:r>
    </w:p>
    <w:p>
      <w:pPr>
        <w:pStyle w:val="Heading2"/>
      </w:pPr>
      <w:r>
        <w:t>4.3 INEDITISMO TEÓRICO-CONCEITUAL</w:t>
      </w:r>
    </w:p>
    <w:p>
      <w:pPr>
        <w:spacing w:line="360" w:lineRule="auto" w:after="0" w:before="0"/>
        <w:ind w:firstLine="709"/>
        <w:jc w:val="both"/>
      </w:pPr>
      <w:r>
        <w:rPr>
          <w:b w:val="0"/>
          <w:i w:val="0"/>
        </w:rPr>
        <w:t>A terceira dimensão está na articulação entre a teoria da atuação, a discussão sobre culturas profissionais, a atenção à dimensão material da escola e a leitura do território para compreender uma política de educação digital. Os estudos reunidos na revisão sistemática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w:t>
      </w:r>
    </w:p>
    <w:p>
      <w:pPr>
        <w:spacing w:line="360" w:lineRule="auto" w:after="0" w:before="0"/>
        <w:ind w:firstLine="709"/>
        <w:jc w:val="both"/>
      </w:pPr>
      <w:r>
        <w:rPr>
          <w:b w:val="0"/>
          <w:i w:val="0"/>
        </w:rPr>
        <w:t>É nessa distância que procuraremos compreender o surgimento de diferentes formas de atuação, inclusive das resistências, entendidas como possibilidade produzida diante de exigências, condições, valores, limites ou conflitos específicos, e nunca como comportamento negativo previamente atribuído aos profissionais. É também desse diálogo entre referenciais que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a partir da tradição do habitar e das leituras de Santos e Massey, é apresentada adiante, depois do referencial teórico-metodológico que sustenta a investigação.</w:t>
      </w:r>
    </w:p>
    <w:p>
      <w:pPr>
        <w:pStyle w:val="Heading1"/>
        <w:pageBreakBefore/>
      </w:pPr>
      <w:r>
        <w:t>5 REFERENCIAL TEÓRICO-METODOLÓGICO</w:t>
      </w:r>
    </w:p>
    <w:p>
      <w:pPr>
        <w:spacing w:line="360" w:lineRule="auto" w:after="0" w:before="0"/>
        <w:ind w:firstLine="709"/>
        <w:jc w:val="both"/>
      </w:pPr>
      <w:r>
        <w:rPr>
          <w:b w:val="0"/>
          <w:i w:val="0"/>
        </w:rPr>
        <w:t>O referencial da pesquisa foi composto para acompanhar a política no caminho que a questão descreve, desde os textos que a instituem até a escola, os profissionais, o território e as crianças. Cada autor responde a uma parte desse caminho. A Abordagem do Ciclo de Políticas oferece a matriz para compreender a trajetória da PNED; a teoria da atuação, o dispositivo para analisar como a escola a coloca em ação; a discussão sobre culturas profissionais e performatividade, os meios para compreender o que filtra essa atuação e o que a pressiona; e as leituras de território, técnica e lugar, apresentadas na seção 6, a forma de inscrever Pipa na análise.</w:t>
      </w:r>
    </w:p>
    <w:p>
      <w:pPr>
        <w:pStyle w:val="Heading2"/>
      </w:pPr>
      <w:r>
        <w:t>5.1 A ABORDAGEM DO CICLO DE POLÍTICAS</w:t>
      </w:r>
    </w:p>
    <w:p>
      <w:pPr>
        <w:spacing w:line="360" w:lineRule="auto" w:after="0" w:before="0"/>
        <w:ind w:firstLine="709"/>
        <w:jc w:val="both"/>
      </w:pPr>
      <w:r>
        <w:rPr>
          <w:b w:val="0"/>
          <w:i w:val="0"/>
        </w:rPr>
        <w:t>A Abordagem do Ciclo de Políticas (ACP) constitui a matriz epistemológica a partir da qual compreendemos a trajetória da PNED. Na formulação inicial de Bowe,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pPr>
        <w:spacing w:line="360" w:lineRule="auto" w:after="0" w:before="0"/>
        <w:ind w:firstLine="709"/>
        <w:jc w:val="both"/>
      </w:pPr>
      <w:r>
        <w:rPr>
          <w:b w:val="0"/>
          <w:i w:val="0"/>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w:t>
      </w:r>
    </w:p>
    <w:p>
      <w:pPr>
        <w:pStyle w:val="Heading2"/>
      </w:pPr>
      <w:r>
        <w:t>5.2 A TEORIA DA ATUAÇÃO OU ENCENAÇÃO</w:t>
      </w:r>
    </w:p>
    <w:p>
      <w:pPr>
        <w:spacing w:line="360" w:lineRule="auto" w:after="0" w:before="0"/>
        <w:ind w:firstLine="709"/>
        <w:jc w:val="both"/>
      </w:pPr>
      <w:r>
        <w:rPr>
          <w:b w:val="0"/>
          <w:i w:val="0"/>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que orientarão a construção da análise. A dimensão situacional reúne a história da escola, sua localização e a composição de seu público, e é por ela que o território de Pipa e a trajetória da Escola 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pPr>
        <w:spacing w:line="360" w:lineRule="auto" w:after="0" w:before="0"/>
        <w:ind w:firstLine="709"/>
        <w:jc w:val="both"/>
      </w:pPr>
      <w:r>
        <w:rPr>
          <w:b w:val="0"/>
          <w:i w:val="0"/>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pPr>
        <w:pStyle w:val="Heading2"/>
      </w:pPr>
      <w:r>
        <w:t>5.3 CULTURAS PROFISSIONAIS E PERFORMATIVIDADE</w:t>
      </w:r>
    </w:p>
    <w:p>
      <w:pPr>
        <w:spacing w:line="360" w:lineRule="auto" w:after="0" w:before="0"/>
        <w:ind w:firstLine="709"/>
        <w:jc w:val="both"/>
      </w:pPr>
      <w:r>
        <w:rPr>
          <w:b w:val="0"/>
          <w:i w:val="0"/>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pPr>
        <w:spacing w:line="360" w:lineRule="auto" w:after="0" w:before="0"/>
        <w:ind w:firstLine="709"/>
        <w:jc w:val="both"/>
      </w:pPr>
      <w:r>
        <w:rPr>
          <w:b w:val="0"/>
          <w:i w:val="0"/>
        </w:rPr>
        <w:t>A performatividade será trabalhada a partir de Ball (2004), que a descreve como uma cultura de metas, comparações, indicadores e prestação de contas capaz de orientar o trabalho e a própria identidade dos profissionais da educação.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determinadas imagens da escola ou de seu trabalho para responder a expectativas de avaliação, de registro ou de apresentação institucional.</w:t>
      </w:r>
    </w:p>
    <w:p>
      <w:pPr>
        <w:spacing w:line="360" w:lineRule="auto" w:after="0" w:before="0"/>
        <w:ind w:firstLine="709"/>
        <w:jc w:val="both"/>
      </w:pPr>
      <w:r>
        <w:rPr>
          <w:b w:val="0"/>
          <w:i w:val="0"/>
        </w:rPr>
        <w:t>As noções reunidas neste referencial funcionarão como lentes de leitura. Elas orientam o olhar sobre os dados sem antecipar o que será encontrado, e poderão ser ajustadas quando os dados pedirem. Isso vale também para a leitura do território, que trata do lugar onde todas essas dimensões se encontram.</w:t>
      </w:r>
    </w:p>
    <w:p>
      <w:pPr>
        <w:pStyle w:val="Heading1"/>
        <w:pageBreakBefore/>
      </w:pPr>
      <w:r>
        <w:t>6 TERRITÓRIO, TÉCNICA E A PRODUÇÃO DO LUGAR</w:t>
      </w:r>
    </w:p>
    <w:p>
      <w:pPr>
        <w:spacing w:line="360" w:lineRule="auto" w:after="0" w:before="0"/>
        <w:ind w:firstLine="709"/>
        <w:jc w:val="both"/>
      </w:pPr>
      <w:r>
        <w:rPr>
          <w:b w:val="0"/>
          <w:i w:val="0"/>
        </w:rPr>
        <w:t xml:space="preserve">Para inscrever Pipa na análise, recorremos a Milton Santos e a Doreen Massey. Em </w:t>
      </w:r>
      <w:r>
        <w:rPr>
          <w:b w:val="0"/>
          <w:i/>
        </w:rPr>
        <w:t>A natureza do espaço</w:t>
      </w:r>
      <w:r>
        <w:rPr>
          <w:b w:val="0"/>
          <w:i w:val="0"/>
        </w:rPr>
        <w:t xml:space="preserve">, Santos (2006)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Pr>
          <w:b w:val="0"/>
          <w:i/>
        </w:rPr>
        <w:t>Pensando o espaço do homem</w:t>
      </w:r>
      <w:r>
        <w:rPr>
          <w:b w:val="0"/>
          <w:i w:val="0"/>
        </w:rPr>
        <w:t>, Santos (2004) reforça essa leitura ao tratar o espaço como acumulação desigual de tempos.</w:t>
      </w:r>
    </w:p>
    <w:p>
      <w:pPr>
        <w:spacing w:line="360" w:lineRule="auto" w:after="0" w:before="0"/>
        <w:ind w:firstLine="709"/>
        <w:jc w:val="both"/>
      </w:pPr>
      <w:r>
        <w:rPr>
          <w:b w:val="0"/>
          <w:i w:val="0"/>
        </w:rPr>
        <w:t xml:space="preserve">Essa perspectiva é especialmente produtiva para pensar uma escola situada num território onde convivem temporalidades tecnológicas diferentes. A Escola Municipal Domitila Castelo da Silva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Nos capítulos já escritos da tese, chamamos essa situação de rugosidade tecnológica. Com Santos, perguntaremos que condições técnicas já existiam na escola quando a política chegou, quais permaneceram, que novos objetos foram incorporados e o que essas condições permitem ou limitam no trabalho dos profissionais e na experiência das crianças.</w:t>
      </w:r>
    </w:p>
    <w:p>
      <w:pPr>
        <w:spacing w:line="360" w:lineRule="auto" w:after="0" w:before="0"/>
        <w:ind w:firstLine="709"/>
        <w:jc w:val="both"/>
      </w:pPr>
      <w:r>
        <w:rPr>
          <w:b w:val="0"/>
          <w:i w:val="0"/>
        </w:rPr>
        <w:t>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O distrito que foi vila de pescadores passou a receber, a partir dos anos 1990, o turismo ligado ao surfe, investimentos imobiliários nacionais e estrangeiros, trabalhadores atraídos pelo setor de serviços e, mais recentemente, pessoas que trabalham remotamente para empresas sediadas em outros lugares. Essas trajetórias se sobrepõem no território e chegam à escola na forma das famílias e das crianças que ela atende.</w:t>
      </w:r>
    </w:p>
    <w:p>
      <w:pPr>
        <w:spacing w:line="360" w:lineRule="auto" w:after="0" w:before="0"/>
        <w:ind w:firstLine="709"/>
        <w:jc w:val="both"/>
      </w:pPr>
      <w:r>
        <w:rPr>
          <w:b w:val="0"/>
          <w:i w:val="0"/>
        </w:rPr>
        <w:t>Articuladas, as contribuições de Santos e de Massey permitem compreender Pipa ao mesmo tempo como território produzido por tempos e relações diferentes e como lugar de encontro de trajetórias diversas. É dessa leitura, somada à discussão sobre o habitar, que nasce a formulação que a tese propõe para nomear a relação entre o território e as tecnologias digitais.</w:t>
      </w:r>
    </w:p>
    <w:p>
      <w:pPr>
        <w:pStyle w:val="Heading1"/>
        <w:pageBreakBefore/>
      </w:pPr>
      <w:r>
        <w:t>7 DA IDEIA DE HABITAR AO “HABITAR O DIGITAL”</w:t>
      </w:r>
    </w:p>
    <w:p>
      <w:pPr>
        <w:spacing w:line="360" w:lineRule="auto" w:after="0" w:before="0"/>
        <w:ind w:firstLine="709"/>
        <w:jc w:val="both"/>
      </w:pPr>
      <w:r>
        <w:rPr>
          <w:b w:val="0"/>
          <w:i w:val="0"/>
        </w:rPr>
        <w:t>A expressão “habitar o digital” é uma formulação própria desta tese. Ela resulta de um percurso teórico que reúne contribuições anteriores e as articula ao caso estudado, e por isso convém apresentar esse percurso e situar o que cada autor oferece.</w:t>
      </w:r>
    </w:p>
    <w:p>
      <w:pPr>
        <w:spacing w:line="360" w:lineRule="auto" w:after="0" w:before="0"/>
        <w:ind w:firstLine="709"/>
        <w:jc w:val="both"/>
      </w:pPr>
      <w:r>
        <w:rPr>
          <w:b w:val="0"/>
          <w:i w:val="0"/>
        </w:rPr>
        <w:t xml:space="preserve">O ponto de partida está na própria noção de habitar. Em </w:t>
      </w:r>
      <w:r>
        <w:rPr>
          <w:b w:val="0"/>
          <w:i/>
        </w:rPr>
        <w:t>O habitar do ensinar e do aprender OnLIFE</w:t>
      </w:r>
      <w:r>
        <w:rPr>
          <w:b w:val="0"/>
          <w:i w:val="0"/>
        </w:rPr>
        <w:t xml:space="preserve">, obra organizada por Schlemmer </w:t>
      </w:r>
      <w:r>
        <w:rPr>
          <w:b w:val="0"/>
          <w:i/>
        </w:rPr>
        <w:t>et al.</w:t>
      </w:r>
      <w:r>
        <w:rPr>
          <w:b w:val="0"/>
          <w:i w:val="0"/>
        </w:rPr>
        <w:t xml:space="preserve"> (2021), o habitar é tomado em sentido mais amplo que o de morar ou permanecer num lugar e aproxima-se da ideia de estar presente. Ele aparece como experiência relacional, constituída pelas relações entre sujeitos, ambientes, tecnologias e redes. Essa discussão dialoga com a obra de Massimo Di Felice. Em </w:t>
      </w:r>
      <w:r>
        <w:rPr>
          <w:b w:val="0"/>
          <w:i/>
        </w:rPr>
        <w:t>Paisagens pós-urbanas</w:t>
      </w:r>
      <w:r>
        <w:rPr>
          <w:b w:val="0"/>
          <w:i w:val="0"/>
        </w:rPr>
        <w:t xml:space="preserve">, Di Felice (2009) retoma a tradição filosófica do habitar, que remonta a Heidegger, e pensa o habitar como prática comunicativa, mostrando como as diferentes tecnologias transformam a relação entre o sujeito, os meios de comunicação e o território. Com as redes digitais, o autor descreve um habitar atópico, em que a experiência habitativa passa a envolver interfaces, fluxos informativos e relações que não se reduzem ao espaço físico. Schlemmer </w:t>
      </w:r>
      <w:r>
        <w:rPr>
          <w:b w:val="0"/>
          <w:i/>
        </w:rPr>
        <w:t>et al.</w:t>
      </w:r>
      <w:r>
        <w:rPr>
          <w:b w:val="0"/>
          <w:i w:val="0"/>
        </w:rPr>
        <w:t xml:space="preserve"> (2021) levam essa discussão para o campo educacional ao pensar o ensinar e o aprender numa realidade marcada pela digitalidade e pela conectividade.</w:t>
      </w:r>
    </w:p>
    <w:p>
      <w:pPr>
        <w:spacing w:line="360" w:lineRule="auto" w:after="0" w:before="0"/>
        <w:ind w:firstLine="709"/>
        <w:jc w:val="both"/>
      </w:pPr>
      <w:r>
        <w:rPr>
          <w:b w:val="0"/>
          <w:i w:val="0"/>
        </w:rPr>
        <w:t>É a partir desse diálogo, e das leituras de território apresentadas na seção anterior, que formulamos a expressão.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pPr>
        <w:spacing w:line="360" w:lineRule="auto" w:after="0" w:before="0"/>
        <w:ind w:firstLine="709"/>
        <w:jc w:val="both"/>
      </w:pPr>
      <w:r>
        <w:rPr>
          <w:b w:val="0"/>
          <w:i w:val="0"/>
        </w:rPr>
        <w:t>Por essa razão, habitar o digital é, nesta tese, mais do que acesso à internet ou posse de equipamentos. A expressão orienta duas perguntas. A primeira diz respeito ao território e indaga como se habita o digital quando a tecnologia está intensamente presente em certos circuitos do distrito e pouco presente nos espaços destinados à educação. A segunda diz respeito à escola e indaga que formas de participação, uso, apropriação e experiência digital se tornam possíveis, ou permanecem restritas, para as crianças nessas condições. A formulação será confrontada com os dados e poderá ser aprofundada, revista ou tensionada ao longo da investigação. A segunda pergunta leva diretamente aos direitos das crianças no ambiente digital.</w:t>
      </w:r>
    </w:p>
    <w:p>
      <w:pPr>
        <w:pStyle w:val="Heading1"/>
        <w:pageBreakBefore/>
      </w:pPr>
      <w:r>
        <w:t>8 EDUCAÇÃO DIGITAL E DIREITOS DAS CRIANÇAS</w:t>
      </w:r>
    </w:p>
    <w:p>
      <w:pPr>
        <w:spacing w:line="360" w:lineRule="auto" w:after="0" w:before="0"/>
        <w:ind w:firstLine="709"/>
        <w:jc w:val="both"/>
      </w:pPr>
      <w:r>
        <w:rPr>
          <w:b w:val="0"/>
          <w:i w:val="0"/>
        </w:rPr>
        <w:t>A discussão sobre os direitos das crianças no ambiente digital é um desdobramento da análise e responde ao objetivo específico (d). As crianças estão no fim do caminho que a política percorre, e é em nome delas que a PNED se justifica. Esta pesquisa ouve os profissionais da educação, e por isso o que se poderá dizer sobre as crianças virá das condições documentadas e das compreensões desses profissionais, sem que se pressuponham efeitos sobre elas.</w:t>
      </w:r>
    </w:p>
    <w:p>
      <w:pPr>
        <w:spacing w:line="360" w:lineRule="auto" w:after="0" w:before="0"/>
        <w:ind w:firstLine="709"/>
        <w:jc w:val="both"/>
      </w:pPr>
      <w:r>
        <w:rPr>
          <w:b w:val="0"/>
          <w:i w:val="0"/>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pPr>
        <w:spacing w:line="360" w:lineRule="auto" w:after="0" w:before="0"/>
        <w:ind w:firstLine="709"/>
        <w:jc w:val="both"/>
      </w:pPr>
      <w:r>
        <w:rPr>
          <w:b w:val="0"/>
          <w:i w:val="0"/>
        </w:rPr>
        <w:t xml:space="preserve">Em diálogo com esses documentos, organizamos a análise em três dimensões, que constituem uma organização analítica própria da tese.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A participação refere-se às possibilidades de as crianças acessarem informação, produzirem, criarem, comunicarem-se, expressarem opiniões e tomarem parte da cultura digital como sujeitos. Com essas dimensões, buscaremos compreender como as diferentes formas de encenação da PNED na Escola Municipal Domitila Castelo da Silva podem ampliar, limitar ou reorganizar as possibilidades de as crianças de Pipa habitarem o digital. Para chegar a essa compreensão, a pesquisa adota o percurso metodológico apresentado a seguir.</w:t>
      </w:r>
    </w:p>
    <w:p>
      <w:pPr>
        <w:pStyle w:val="Heading1"/>
        <w:pageBreakBefore/>
      </w:pPr>
      <w:r>
        <w:t>9 METODOLOGIA</w:t>
      </w:r>
    </w:p>
    <w:p>
      <w:pPr>
        <w:pStyle w:val="Heading2"/>
      </w:pPr>
      <w:r>
        <w:t>9.1 ABORDAGEM E DESENHO DA PESQUISA</w:t>
      </w:r>
    </w:p>
    <w:p>
      <w:pPr>
        <w:spacing w:line="360" w:lineRule="auto" w:after="0" w:before="0"/>
        <w:ind w:firstLine="709"/>
        <w:jc w:val="both"/>
      </w:pPr>
      <w:r>
        <w:rPr>
          <w:b w:val="0"/>
          <w:i w:val="0"/>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e não constitui um segundo caso.</w:t>
      </w:r>
    </w:p>
    <w:p>
      <w:pPr>
        <w:spacing w:line="360" w:lineRule="auto" w:after="0" w:before="0"/>
        <w:ind w:firstLine="709"/>
        <w:jc w:val="both"/>
      </w:pPr>
      <w:r>
        <w:rPr>
          <w:b w:val="0"/>
          <w:i w:val="0"/>
        </w:rPr>
        <w:t>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O trabalho de campo começará somente depois da aprovação do projeto pelo Comitê de Ética em Pesquisa,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pPr>
        <w:spacing w:line="360" w:lineRule="auto" w:after="0" w:before="0"/>
        <w:ind w:firstLine="709"/>
        <w:jc w:val="both"/>
      </w:pPr>
      <w:r>
        <w:rPr>
          <w:b w:val="0"/>
          <w:i w:val="0"/>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pPr>
        <w:pStyle w:val="Heading2"/>
      </w:pPr>
      <w:r>
        <w:t>9.2 PARTICIPANTES</w:t>
      </w:r>
    </w:p>
    <w:p>
      <w:pPr>
        <w:spacing w:line="360" w:lineRule="auto" w:after="0" w:before="0"/>
        <w:ind w:firstLine="709"/>
        <w:jc w:val="both"/>
      </w:pPr>
      <w:r>
        <w:rPr>
          <w:b w:val="0"/>
          <w:i w:val="0"/>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política se constrói em diferentes lugares da escola, do planejamento e da coordenação ao trabalho com as crianças. O número de participantes por função será definido com a escola [indicar].</w:t>
      </w:r>
    </w:p>
    <w:p>
      <w:pPr>
        <w:spacing w:line="360" w:lineRule="auto" w:after="0" w:before="0"/>
        <w:ind w:firstLine="709"/>
        <w:jc w:val="both"/>
      </w:pPr>
      <w:r>
        <w:rPr>
          <w:b w:val="0"/>
          <w:i w:val="0"/>
        </w:rPr>
        <w:t>Participará também um técnico da Secretaria Municipal de Educação responsável pelas ações, orientações ou pelo acompanhamento da educação digital no município. Sua participação ajudará a compreender como a política é recebida e traduzida no âmbito municipal antes de chegar ao cotidiano da escola, aproximando o contexto externo do contexto da prática sem deslocar da escola o centro da investigação.</w:t>
      </w:r>
    </w:p>
    <w:p>
      <w:pPr>
        <w:pStyle w:val="Heading1"/>
        <w:pageBreakBefore/>
      </w:pPr>
      <w:r>
        <w:t>10 CONSTRUÇÃO DOS DADOS</w:t>
      </w:r>
    </w:p>
    <w:p>
      <w:pPr>
        <w:spacing w:line="360" w:lineRule="auto" w:after="0" w:before="0"/>
        <w:ind w:firstLine="709"/>
        <w:jc w:val="both"/>
      </w:pPr>
      <w:r>
        <w:rPr>
          <w:b w:val="0"/>
          <w:i w:val="0"/>
        </w:rPr>
        <w:t>Os dados serão construídos em cinco movimentos articulados. Cada movimento acrescenta uma fonte ao estudo, e o confronto entre elas, feito no último, permite ler a encenação da política em mais de um plano.</w:t>
      </w:r>
    </w:p>
    <w:p>
      <w:pPr>
        <w:pStyle w:val="Heading2"/>
      </w:pPr>
      <w:r>
        <w:t>10.1 PRIMEIRO MOVIMENTO: ANÁLISE DOCUMENTAL</w:t>
      </w:r>
    </w:p>
    <w:p>
      <w:pPr>
        <w:spacing w:line="360" w:lineRule="auto" w:after="0" w:before="0"/>
        <w:ind w:firstLine="709"/>
        <w:jc w:val="both"/>
      </w:pPr>
      <w:r>
        <w:rPr>
          <w:b w:val="0"/>
          <w:i w:val="0"/>
        </w:rPr>
        <w:t>O primeiro movimento reúne os documentos que acompanham a PNED em sua chegada à escola.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 por exemplo, procuraremos a concepção da escola sobre as tecnologias digitais, lida como tradução local da política, e os planos de aula permitirão confrontar as narrativas dos profissionais com o planejamento formal do ensino.</w:t>
      </w:r>
    </w:p>
    <w:p>
      <w:pPr>
        <w:pStyle w:val="Heading2"/>
      </w:pPr>
      <w:r>
        <w:t>10.2 SEGUNDO MOVIMENTO: REGISTRO ICONOGRÁFICO E LEITURA DO TERRITÓRIO</w:t>
      </w:r>
    </w:p>
    <w:p>
      <w:pPr>
        <w:spacing w:line="360" w:lineRule="auto" w:after="0" w:before="0"/>
        <w:ind w:firstLine="709"/>
        <w:jc w:val="both"/>
      </w:pPr>
      <w:r>
        <w:rPr>
          <w:b w:val="0"/>
          <w:i w:val="0"/>
        </w:rPr>
        <w:t>O segundo movimento incorpora o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pPr>
        <w:pStyle w:val="Heading2"/>
      </w:pPr>
      <w:r>
        <w:t>10.3 TERCEIRO MOVIMENTO: QUESTIONÁRIO DE PERFIL E PERCEPÇÕES</w:t>
      </w:r>
    </w:p>
    <w:p>
      <w:pPr>
        <w:spacing w:line="360" w:lineRule="auto" w:after="0" w:before="0"/>
        <w:ind w:firstLine="709"/>
        <w:jc w:val="both"/>
      </w:pPr>
      <w:r>
        <w:rPr>
          <w:b w:val="0"/>
          <w:i w:val="0"/>
        </w:rPr>
        <w:t>O terceiro movimento é um questionário presencial, respondido em formulário digital, com função descritiva e contextualizadora.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O questionário não se presta a generalizações estatísticas. Sua função é caracterizar o grupo e oferecer elementos que ajudem a compreender as entrevistas.</w:t>
      </w:r>
    </w:p>
    <w:p>
      <w:pPr>
        <w:pStyle w:val="Heading2"/>
      </w:pPr>
      <w:r>
        <w:t>10.4 QUARTO MOVIMENTO: ENTREVISTAS SEMIESTRUTURADAS</w:t>
      </w:r>
    </w:p>
    <w:p>
      <w:pPr>
        <w:spacing w:line="360" w:lineRule="auto" w:after="0" w:before="0"/>
        <w:ind w:firstLine="709"/>
        <w:jc w:val="both"/>
      </w:pPr>
      <w:r>
        <w:rPr>
          <w:b w:val="0"/>
          <w:i w:val="0"/>
        </w:rPr>
        <w:t>O quarto movimento consiste em entrevistas individuais semiestruturadas, com duração aproximada de 60 a 90 minutos, realizadas em espaço reservado, gravadas com o consentimento dos participantes e depois transcritas. Com os profissionais da escola, as entrevistas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pPr>
        <w:spacing w:line="360" w:lineRule="auto" w:after="0" w:before="0"/>
        <w:ind w:firstLine="709"/>
        <w:jc w:val="both"/>
      </w:pPr>
      <w:r>
        <w:rPr>
          <w:b w:val="0"/>
          <w:i w:val="0"/>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pPr>
        <w:pStyle w:val="Heading2"/>
      </w:pPr>
      <w:r>
        <w:t>10.5 QUINTO MOVIMENTO: ANÁLISE E DEVOLUTIVA</w:t>
      </w:r>
    </w:p>
    <w:p>
      <w:pPr>
        <w:spacing w:line="360" w:lineRule="auto" w:after="0" w:before="0"/>
        <w:ind w:firstLine="709"/>
        <w:jc w:val="both"/>
      </w:pPr>
      <w:r>
        <w:rPr>
          <w:b w:val="0"/>
          <w:i w:val="0"/>
        </w:rPr>
        <w:t>O quinto movimento reúne as fontes. Os relatos orais e as respostas abertas do questionário serão examinados pela análise temática reflexiva (BRAUN; CLARKE, 2006, 2019),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pPr>
        <w:spacing w:line="360" w:lineRule="auto" w:after="0" w:before="0"/>
        <w:ind w:firstLine="709"/>
        <w:jc w:val="both"/>
      </w:pPr>
      <w:r>
        <w:rPr>
          <w:b w:val="0"/>
          <w:i w:val="0"/>
        </w:rPr>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pPr>
        <w:pStyle w:val="Heading1"/>
        <w:pageBreakBefore/>
      </w:pPr>
      <w:r>
        <w:t>11 A RESISTÊNCIA COMO PROBLEMA ANALÍTICO</w:t>
      </w:r>
    </w:p>
    <w:p>
      <w:pPr>
        <w:spacing w:line="360" w:lineRule="auto" w:after="0" w:before="0"/>
        <w:ind w:firstLine="709"/>
        <w:jc w:val="both"/>
      </w:pPr>
      <w:r>
        <w:rPr>
          <w:b w:val="0"/>
          <w:i w:val="0"/>
        </w:rPr>
        <w:t>A palavra “resistências” está no título da tese por uma escolha deliberada. Ela expressa uma preocupação teórica da pesquisa, a de compreender o que acontece quando os profissionais encontram exigências normativas que precisam ser traduzidas dentro de determinadas condições de trabalho. Essa escolha pede cuidado, porque a resistência será tratada como uma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pPr>
        <w:spacing w:line="360" w:lineRule="auto" w:after="0" w:before="0"/>
        <w:ind w:firstLine="709"/>
        <w:jc w:val="both"/>
      </w:pPr>
      <w:r>
        <w:rPr>
          <w:b w:val="0"/>
          <w:i w:val="0"/>
        </w:rPr>
        <w:t>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 Essa abertura permite manter a resistência como problema relevante para a tese sem transformá-la numa conclusão antecipada.</w:t>
      </w:r>
    </w:p>
    <w:p>
      <w:pPr>
        <w:pStyle w:val="Heading1"/>
        <w:pageBreakBefore/>
      </w:pPr>
      <w:r>
        <w:t>12 TESE DE PARTIDA</w:t>
      </w:r>
    </w:p>
    <w:p>
      <w:pPr>
        <w:spacing w:line="360" w:lineRule="auto" w:after="0" w:before="0"/>
        <w:ind w:firstLine="709"/>
        <w:jc w:val="both"/>
      </w:pPr>
      <w:r>
        <w:rPr>
          <w:b w:val="0"/>
          <w:i w:val="0"/>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 resistência, embora seja uma possibilidade analítica particularmente importante, permanece como possibilidade a ser verificada.</w:t>
      </w:r>
    </w:p>
    <w:p>
      <w:pPr>
        <w:spacing w:line="360" w:lineRule="auto" w:after="0" w:before="0"/>
        <w:ind w:firstLine="709"/>
        <w:jc w:val="both"/>
      </w:pPr>
      <w:r>
        <w:rPr>
          <w:b w:val="0"/>
          <w:i w:val="0"/>
        </w:rPr>
        <w:t>Partimos também da compreensão de que as condições materiais fazem parte da política. A existência ou a ausência de equipamentos, de conectividade, de espaços adequados, de formação e de tempo de planejamento participa daquilo que os profissionais conseguem fazer com o que a lei pede. Por isso, perguntar se a PNED foi implementada diz pouco sobre o que se passa em Pipa. A pergunta que interessa é mais incômoda e diz respeito ao que acontece com uma política de educação digital quando ela encontra uma escola com uma história, condições materiais e culturas profissionais determinadas, inserida num território específico. É nesse encontro que a política adquire suas formas, e é nele também que se torna possível perguntar quem consegue habitar o digital, em que condições e com quais possibilidades de participação.</w:t>
      </w:r>
    </w:p>
    <w:p>
      <w:pPr>
        <w:pStyle w:val="Heading1"/>
        <w:pageBreakBefore/>
      </w:pPr>
      <w:r>
        <w:t>13 CONTRIBUIÇÕES ESPERADAS</w:t>
      </w:r>
    </w:p>
    <w:p>
      <w:pPr>
        <w:spacing w:line="360" w:lineRule="auto" w:after="0" w:before="0"/>
        <w:ind w:firstLine="709"/>
        <w:jc w:val="both"/>
      </w:pPr>
      <w:r>
        <w:rPr>
          <w:b w:val="0"/>
          <w:i w:val="0"/>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pPr>
        <w:spacing w:line="360" w:lineRule="auto" w:after="0" w:before="0"/>
        <w:ind w:firstLine="709"/>
        <w:jc w:val="both"/>
      </w:pPr>
      <w:r>
        <w:rPr>
          <w:b w:val="0"/>
          <w:i w:val="0"/>
        </w:rPr>
        <w:t>A contribuição conceitual própria da tese está na formulação “habitar o digital”, construída no diálogo entre a tradição do habitar, as discussões contemporâneas sobre digitalidade e conectividade e as leituras de território, técnica, espaço e lugar de Santos e Massey. Essa formulação será confrontada com os dados empíricos e poderá ser aprofundada, revista ou tensionada ao longo da investigação, de modo que o que se aprender em Pipa possa voltar à teoria e ajudar a compreender outras escolas onde a mesma política chega em condições igualmente desiguais.</w:t>
      </w:r>
    </w:p>
    <w:p>
      <w:pPr>
        <w:pStyle w:val="Heading1"/>
        <w:pageBreakBefore/>
        <w:jc w:val="center"/>
      </w:pPr>
      <w:r>
        <w:t>REFERÊNCIAS</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2004.</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Conselho Nacional de Saúde. Resolução nº 466, de 12 de dezembro de 2012. Aprova diretrizes e normas regulamentadoras de pesquisas envolvendo seres humanos. Brasília, DF: CNS, 2012.</w:t>
      </w:r>
    </w:p>
    <w:p>
      <w:pPr>
        <w:spacing w:line="240" w:lineRule="auto" w:after="240" w:before="0"/>
        <w:ind w:firstLine="0"/>
        <w:jc w:val="left"/>
      </w:pPr>
      <w:r>
        <w:rPr>
          <w:b w:val="0"/>
          <w:i w:val="0"/>
        </w:rPr>
        <w:t>BRASIL. Conselho Nacional de Saúde. Resolução nº 510, de 7 de abril de 2016. Dispõe sobre as normas aplicáveis a pesquisas em Ciências Humanas e Sociais. Brasília, DF: CNS, 2016.</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BRAUN, Virginia; CLARKE, Victoria. Using thematic analysis in psychology. </w:t>
      </w:r>
      <w:r>
        <w:rPr>
          <w:b/>
          <w:i w:val="0"/>
        </w:rPr>
        <w:t>Qualitative Research in Psychology</w:t>
      </w:r>
      <w:r>
        <w:rPr>
          <w:b w:val="0"/>
          <w:i w:val="0"/>
        </w:rPr>
        <w:t>, v. 3, n. 2, p. 77-101, 2006.</w:t>
      </w:r>
    </w:p>
    <w:p>
      <w:pPr>
        <w:spacing w:line="240" w:lineRule="auto" w:after="240" w:before="0"/>
        <w:ind w:firstLine="0"/>
        <w:jc w:val="left"/>
      </w:pPr>
      <w:r>
        <w:rPr>
          <w:b w:val="0"/>
          <w:i w:val="0"/>
        </w:rPr>
        <w:t xml:space="preserve">BRAUN, Virginia; CLARKE, Victoria. Reflecting on reflexive thematic analysis. </w:t>
      </w:r>
      <w:r>
        <w:rPr>
          <w:b/>
          <w:i w:val="0"/>
        </w:rPr>
        <w:t>Qualitative Research in Sport, Exercise and Health</w:t>
      </w:r>
      <w:r>
        <w:rPr>
          <w:b w:val="0"/>
          <w:i w:val="0"/>
        </w:rPr>
        <w:t>, v. 11, n. 4, p. 589-597, 2019.</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2006.</w:t>
      </w:r>
    </w:p>
    <w:p>
      <w:pPr>
        <w:spacing w:line="240" w:lineRule="auto" w:after="240" w:before="0"/>
        <w:ind w:firstLine="0"/>
        <w:jc w:val="left"/>
      </w:pPr>
      <w:r>
        <w:rPr>
          <w:b w:val="0"/>
          <w:i w:val="0"/>
        </w:rPr>
        <w:t xml:space="preserve">MASSEY, Doreen. </w:t>
      </w:r>
      <w:r>
        <w:rPr>
          <w:b/>
          <w:i w:val="0"/>
        </w:rPr>
        <w:t>Pelo espaço</w:t>
      </w:r>
      <w:r>
        <w:rPr>
          <w:b w:val="0"/>
          <w:i w:val="0"/>
        </w:rPr>
        <w:t>: uma nova política da espacialidade. Rio de Janeiro: Bertrand Brasil, 2008.</w:t>
      </w:r>
    </w:p>
    <w:p>
      <w:pPr>
        <w:spacing w:line="240" w:lineRule="auto" w:after="240" w:before="0"/>
        <w:ind w:firstLine="0"/>
        <w:jc w:val="left"/>
      </w:pPr>
      <w:r>
        <w:rPr>
          <w:b w:val="0"/>
          <w:i w:val="0"/>
        </w:rPr>
        <w:t xml:space="preserve">MINAYO, Maria Cecília de Souza (org.). </w:t>
      </w:r>
      <w:r>
        <w:rPr>
          <w:b/>
          <w:i w:val="0"/>
        </w:rPr>
        <w:t>Pesquisa social</w:t>
      </w:r>
      <w:r>
        <w:rPr>
          <w:b w:val="0"/>
          <w:i w:val="0"/>
        </w:rPr>
        <w:t>: teoria, método e criatividade. 28. ed. Petrópolis: Vozes, 2009.</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Genebra: Organização das Nações Unidas, 2021.</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1999.</w:t>
      </w:r>
    </w:p>
    <w:p>
      <w:pPr>
        <w:spacing w:line="240" w:lineRule="auto" w:after="240" w:before="0"/>
        <w:ind w:firstLine="0"/>
        <w:jc w:val="left"/>
      </w:pPr>
      <w:r>
        <w:rPr>
          <w:b w:val="0"/>
          <w:i w:val="0"/>
        </w:rPr>
        <w:t xml:space="preserve">SANTOS, Milton. </w:t>
      </w:r>
      <w:r>
        <w:rPr>
          <w:b/>
          <w:i w:val="0"/>
        </w:rPr>
        <w:t>Pensando o espaço do homem</w:t>
      </w:r>
      <w:r>
        <w:rPr>
          <w:b w:val="0"/>
          <w:i w:val="0"/>
        </w:rPr>
        <w:t>. 5. ed. São Paulo: Editora da Universidade de São Paulo, 2004.</w:t>
      </w:r>
    </w:p>
    <w:p>
      <w:pPr>
        <w:spacing w:line="240" w:lineRule="auto" w:after="240" w:before="0"/>
        <w:ind w:firstLine="0"/>
        <w:jc w:val="left"/>
      </w:pPr>
      <w:r>
        <w:rPr>
          <w:b w:val="0"/>
          <w:i w:val="0"/>
        </w:rPr>
        <w:t xml:space="preserve">SANTOS, Milton. </w:t>
      </w:r>
      <w:r>
        <w:rPr>
          <w:b/>
          <w:i w:val="0"/>
        </w:rPr>
        <w:t>A natureza do espaço</w:t>
      </w:r>
      <w:r>
        <w:rPr>
          <w:b w:val="0"/>
          <w:i w:val="0"/>
        </w:rPr>
        <w:t>: técnica e tempo, razão e emoção. 4. ed. 2. reimpr. São Paulo: Editora da Universidade de São Paulo, 2006.</w:t>
      </w:r>
    </w:p>
    <w:p>
      <w:pPr>
        <w:spacing w:line="240" w:lineRule="auto" w:after="240" w:before="0"/>
        <w:ind w:firstLine="0"/>
        <w:jc w:val="left"/>
      </w:pPr>
      <w:r>
        <w:rPr>
          <w:b w:val="0"/>
          <w:i w:val="0"/>
        </w:rPr>
        <w:t xml:space="preserve">SCHLEMMER, Eliane; BACKES, Luciana; BITTENCOURT, João Ricardo; PALAGI, Ana Maria (org.). </w:t>
      </w:r>
      <w:r>
        <w:rPr>
          <w:b/>
          <w:i w:val="0"/>
        </w:rPr>
        <w:t>O habitar do ensinar e do aprender OnLIFE</w:t>
      </w:r>
      <w:r>
        <w:rPr>
          <w:b w:val="0"/>
          <w:i w:val="0"/>
        </w:rPr>
        <w:t>: vivências na educação contemporânea. São Leopoldo: Casa Leiria, 2021.</w:t>
      </w:r>
    </w:p>
    <w:p>
      <w:pPr>
        <w:spacing w:line="240" w:lineRule="auto" w:after="240" w:before="0"/>
        <w:ind w:firstLine="0"/>
        <w:jc w:val="left"/>
      </w:pPr>
      <w:r>
        <w:rPr>
          <w:b w:val="0"/>
          <w:i w:val="0"/>
        </w:rPr>
        <w:t xml:space="preserve">YIN, Robert K. </w:t>
      </w:r>
      <w:r>
        <w:rPr>
          <w:b/>
          <w:i w:val="0"/>
        </w:rPr>
        <w:t>Estudo de caso</w:t>
      </w:r>
      <w:r>
        <w:rPr>
          <w:b w:val="0"/>
          <w:i w:val="0"/>
        </w:rPr>
        <w:t>: planejamento e métodos. 2. ed. Porto Alegre: Bookman, 2001.</w:t>
      </w:r>
    </w:p>
    <w:sectPr w:rsidR="00FC693F" w:rsidRPr="0006063C" w:rsidSect="00034616">
      <w:headerReference w:type="default" r:id="rId9"/>
      <w:pgSz w:w="11906" w:h="16838"/>
      <w:pgMar w:top="1701" w:right="1134" w:bottom="1134" w:left="1701" w:header="1134" w:footer="720" w:gutter="0"/>
      <w:cols w:space="720"/>
      <w:docGrid w:linePitch="360"/>
      <w:pgNumType w:start="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3</w: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