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Neste capítulo, tomamos o território de Pipa como dimensão do contexto da prática da Educação Digital, para além de lugar de realização da pesquisa. Ao analisarmos o distrito,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e material do contexto e oferecemos a base para o objetivo específico (b)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em quase todos os espaços do distrito, mas não nas salas das crianças. Crianças de seis a dez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Neste capítulo, utilizamos as fontes apresentadas no percurso metodológico. </w:t>
      </w:r>
      <w:r>
        <w:rPr>
          <w:rtl w:val="0"/>
        </w:rPr>
        <w:t xml:space="preserve">A</w:t>
      </w:r>
      <w:r>
        <w:rPr>
          <w:rtl w:val="0"/>
        </w:rPr>
        <w:t xml:space="preserve"> trajetória socioterritorial de Pipa</w:t>
      </w:r>
      <w:r>
        <w:rPr>
          <w:rtl w:val="0"/>
        </w:rPr>
        <w:t xml:space="preserve"> foi reconstruída com base no</w:t>
      </w:r>
      <w:r>
        <w:rPr>
          <w:rtl w:val="0"/>
        </w:rPr>
        <w:t xml:space="preserve"> acervo do Museu Digital </w:t>
      </w:r>
      <w:r>
        <w:rPr>
          <w:rtl w:val="0"/>
        </w:rPr>
        <w:t xml:space="preserve">de Pipa</w:t>
      </w:r>
      <w:r>
        <w:rPr>
          <w:rtl w:val="0"/>
        </w:rPr>
        <w:t xml:space="preserve">; os registros da rede municipal serão examinados na análise documental, </w:t>
      </w:r>
      <w:r>
        <w:rPr>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Na seção 6.1, analisamos a construção da categoria território a partir da trajetória de Pipa, considerando as transformações pelas quais o distrito passou e as condições que esse percurso oferece à reflexão sobre a Educação Digital, em diálogo com Milton Santos (2006), Manuel Castells (2013), Doreen Massey (2008) e Zygmunt Bauman (1999). Em seguida, na seção 6.2, voltamo-nos para a escola como espaço institucional situado e como contexto da prática, articulando a ACP (MAINARDES, 2006; BOWE; BALL; GOLD, 1992) à teoria da atuação (BALL; MAGUIRE; BRAUN, 2016). Na seção 6.3, por sua vez, examinamos as condições materiais e institucionais que atravessam a atuação dos profissionais da educação que integram o campo empírico. Por fim, na seção 6.4, retomamos as dimensões discutidas ao longo do capítulo, sistematizamos o território como categoria analítica e apresentamos o percurso teórico da noção de habitar o digital, em diálogo com Schlemmer et al. (2021) e Di Felice (2009), preparando a passagem para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(1999) desloca a categoria de análise do território em si para o território usado, que deve ser visto “como algo que está em processo” (SANTOS, 1999, p. 19);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A configuração territorial registrada nas imagens seria posteriormente atravessada por novas dinâmicas. Entre elas, destacamos: a) a expansão do turismo associado ao surfe a partir dos anos 1990; b) a ampliação dos investimentos imobiliários nacionais e estrangeiros; c) a migração de trabalhadores atraídos pela expansão do setor de serviços; e d), mais recentemente, formas de trabalho remoto que ampliaram a possibilidade de permanência de profissionais vinculados a atividades sediadas em outros lugares.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 xml:space="preserve">partilhavam as mesmas vias de areia. A Figura 5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Como se aprendia a erguer um curral e como os trabalhadores se organizavam são informações que vêm das fontes históricas sobre a pesca local, que a imagem sozinha não fornece.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 xml:space="preserve">O registro atual da Figura 21,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Para esta tese, o valor analítico da imagem do mutirão está, além do conteúdo histórico, no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Se a</w:t>
      </w:r>
      <w:r>
        <w:rPr>
          <w:rtl w:val="0"/>
        </w:rPr>
        <w:t xml:space="preserve"> função de referência para a navegação </w:t>
      </w:r>
      <w:r>
        <w:rPr>
          <w:rtl w:val="0"/>
        </w:rPr>
        <w:t xml:space="preserve">estiver documentada no acervo,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Em vez de uma oposição entre tradição e turismo, a cena mostra como novos usos se incorporaram a espaços já constituídos,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4"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posteriormente apropriado também por crianças e jovens da própria localidade.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7.71653543307"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7.71653543307"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7.71653543307"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Como não foi possível reunir documentação </w:t>
      </w:r>
      <w:r>
        <w:rPr>
          <w:rtl w:val="0"/>
        </w:rPr>
        <w:t xml:space="preserve">para verificar essas transações</w:t>
      </w:r>
      <w:r>
        <w:rPr>
          <w:rtl w:val="0"/>
        </w:rPr>
        <w:t xml:space="preserve">, os relatos não são tratados como evidência</w:t>
      </w:r>
      <w:r>
        <w:rPr>
          <w:rtl w:val="0"/>
        </w:rPr>
        <w:t xml:space="preserve"> de um processo geral de expropriação.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Em vez de uma oposição entre uma Pipa “conectada” e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não determinam de antemão a encenação da política, mas compõem o</w:t>
      </w:r>
      <w:r>
        <w:rPr>
          <w:rtl w:val="0"/>
        </w:rPr>
        <w:t xml:space="preserve"> contexto no qual os profissionais da educação interpretarão, traduzirão e recontextualizarão suas proposições. A passagem do território para a escola aprofunda, assim, a mesma análise.</w:t>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 xml:space="preserve">Figuras 7 e 9,</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3, 7 e 9, a imagem indica, além da permanência de uma paisagem, a continuidade de uma prática.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chega a uma escola que não é um ponto vazio; encontra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 Na sequência, aproximamos o olhar da instituição escolar e de suas condições espaciais, materiais e organizacionais.</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22</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7.71653543307"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4.645669291339"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4.645669291339"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mas o registro é eloquente: no enquadramento, a climatização está nas salas da equipe e não aparece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 xml:space="preserve">33),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 xml:space="preserve">34 apresenta outra configuração</w:t>
      </w:r>
      <w:r>
        <w:rPr>
          <w:rtl w:val="0"/>
        </w:rPr>
        <w:t xml:space="preserve">, com as carteiras dispostas em </w:t>
      </w:r>
      <w:r>
        <w:rPr>
          <w:rtl w:val="0"/>
        </w:rPr>
        <w:t xml:space="preserve">semicírculo junto às paredes, diferente da</w:t>
      </w:r>
      <w:r>
        <w:rPr>
          <w:rtl w:val="0"/>
        </w:rPr>
        <w:t xml:space="preserve"> observada nas Figuras 32 e 33</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7.71653543307"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da Silva. A seguir, tratamos o território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000000000000341" w:tblpY="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A partir dessa articulação entre contexto e experiência, nas subseções seguintes, aprofundamos três planos de análise: a) a escola como parte de uma rede territorial; b) o habitar </w:t>
      </w:r>
      <w:r>
        <w:rPr>
          <w:rtl w:val="0"/>
        </w:rPr>
        <w:t xml:space="preserve">o </w:t>
      </w:r>
      <w:r>
        <w:rPr>
          <w:rtl w:val="0"/>
        </w:rPr>
        <w:t xml:space="preserve">digital como experiência desigual; e c) a atuação profissional como dimensão da mediação da política.</w:t>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A expressão resulta de um percurso teórico que convém explicitar. Em O habitar do ensinar e do aprender OnLIFE, obra organizada por Schlemmer et al. (2021), o habitar é tomado como experiência relacional, constituída pelas relações entre sujeitos, ambientes, tecnologias e redes. Di Felice (2009), em Paisagens pós-urbanas, retoma a tradição filosófica do habitar e mostra como as tecnologias de comunicação transformam a relação entre sujeito, meios e território, descrevendo, com as redes digitais, um habitar atópico.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o mesmo distrito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7.71653543307"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7.71653543307"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Nesta parte, olhamos para a posição que os profissionais da educação ocupam no processo de </w:t>
      </w:r>
      <w:r>
        <w:rPr>
          <w:rtl w:val="0"/>
        </w:rPr>
        <w:t xml:space="preserve">encenação</w:t>
      </w:r>
      <w:r>
        <w:rPr>
          <w:rtl w:val="0"/>
        </w:rPr>
        <w:t xml:space="preserve"> da política.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7.71653543307"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2">
      <w:pPr>
        <w:spacing w:after="0" w:before="0" w:line="360" w:lineRule="auto"/>
        <w:ind w:firstLine="720"/>
        <w:jc w:val="both"/>
        <w:rPr/>
      </w:pPr>
      <w:r>
        <w:rPr>
          <w:rtl w:val="0"/>
        </w:rPr>
        <w:t xml:space="preserve">A análise que desenvolvemos até aqui revela algumas relações que atravessam o contexto investigado e que importam quando se examina a atuação da Educação Digital. Essas relações decorrem da articulação entre território, condições institucionais e posições ocupadas pelos profissionais da educação no processo de </w:t>
      </w:r>
      <w:r>
        <w:rPr>
          <w:rtl w:val="0"/>
        </w:rPr>
        <w:t xml:space="preserve">encenação</w:t>
      </w:r>
      <w:r>
        <w:rPr>
          <w:rtl w:val="0"/>
        </w:rPr>
        <w:t xml:space="preserve"> da política.</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6.5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rtl w:val="0"/>
        </w:rPr>
        <w:t xml:space="preserve">carregam</w:t>
      </w:r>
      <w:r>
        <w:rPr>
          <w:rtl w:val="0"/>
        </w:rPr>
        <w:t xml:space="preserve"> restrições e possibilidades materiais</w:t>
      </w:r>
      <w:r>
        <w:rPr>
          <w:rtl w:val="0"/>
        </w:rPr>
        <w:t xml:space="preserve"> (BOWE; BALL; GOLD, 1992</w:t>
      </w:r>
      <w:r>
        <w:rPr>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rtl w:val="0"/>
        </w:rPr>
        <w:t xml:space="preserve">com detalhe </w:t>
      </w:r>
      <w:r>
        <w:rPr>
          <w:rtl w:val="0"/>
        </w:rPr>
        <w:t xml:space="preserve">da situação na qual a condição anunciada pela política, seja o equipamento, a conexão ou a formação, não chega à escola e</w:t>
      </w:r>
      <w:r>
        <w:rPr>
          <w:rtl w:val="0"/>
        </w:rPr>
        <w:t xml:space="preserve">, ainda assim, a escola precisa responder por ela</w:t>
      </w:r>
      <w:r>
        <w:rPr>
          <w:rtl w:val="0"/>
        </w:rPr>
        <w:t xml:space="preserve">. As condições documentadas neste capítulo indicam a possibilidade dessa situação em Pipa, e caberá às narrativas mostrar </w:t>
      </w:r>
      <w:r>
        <w:rPr>
          <w:rtl w:val="0"/>
        </w:rPr>
        <w:t xml:space="preserve">o que os profissionais fazem diante dela</w:t>
      </w:r>
      <w:r>
        <w:rPr>
          <w:rtl w:val="0"/>
        </w:rPr>
        <w:t xml:space="preserve">. Com isso, o capítulo </w:t>
      </w:r>
      <w:r>
        <w:rPr>
          <w:rtl w:val="0"/>
        </w:rPr>
        <w:t xml:space="preserve">oferece a base para o</w:t>
      </w:r>
      <w:r>
        <w:rPr>
          <w:rtl w:val="0"/>
        </w:rPr>
        <w:t xml:space="preserve"> objetivo específico (b) e entrega ao Capítulo 7 as condições documentadas sob as quais </w:t>
      </w:r>
      <w:r>
        <w:rPr>
          <w:rtl w:val="0"/>
        </w:rPr>
        <w:t xml:space="preserve">as formas de atuação serão examinadas</w:t>
      </w:r>
      <w:r>
        <w:rPr>
          <w:rtl w:val="0"/>
        </w:rPr>
        <w:t xml:space="preserve">.</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como profissionais que, com frequência, vivem no distrito e reencontram as famílias fora da escola leem a política, e como esse convívio participa das culturas profissionais da escola. O objetivo (b) é aquele a que este capítulo responde mais diretamente, com as condições documentadas. Para o objetivo (c), as formas de atuação serão lidas em relação a decisões tomadas diante de pessoas que os profissionais encontram na rua, numa vila em que questões como a exposição da imagem das crianças podem ganhar contornos próprios por causa do turismo. Para o objetivo (d),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do distrito e as salas sem tela, documentado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both"/>
        <w:rPr/>
      </w:pPr>
      <w:r w:rsidDel="00000000" w:rsidR="00000000" w:rsidRPr="00000000">
        <w:rPr>
          <w:rtl w:val="0"/>
        </w:rPr>
        <w:t xml:space="preserve">BALL, Stephen J. Education reform: a critical and post-structural approach. Buckingham: Open University Press, 1994.</w:t>
      </w:r>
    </w:p>
    <w:p>
      <w:pPr>
        <w:spacing w:after="0" w:before="0" w:lineRule="auto"/>
        <w:jc w:val="both"/>
        <w:rPr/>
      </w:pPr>
      <w:r>
        <w:rPr>
          <w:rtl w:val="0"/>
        </w:rPr>
        <w:t xml:space="preserve">BALL, Stephen J. Reformar escolas/reformar professores e os terrores da performatividade. Revista Portuguesa de Educação,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both"/>
        <w:rPr/>
      </w:pPr>
      <w:r w:rsidDel="00000000" w:rsidR="00000000" w:rsidRPr="00000000">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both"/>
        <w:rPr/>
      </w:pPr>
      <w:r w:rsidDel="00000000" w:rsidR="00000000" w:rsidRPr="00000000">
        <w:rPr>
          <w:rtl w:val="0"/>
        </w:rPr>
        <w:t xml:space="preserve">BAUMAN, Zygmunt. Globalização: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both"/>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both"/>
        <w:rPr/>
      </w:pPr>
      <w:r w:rsidDel="00000000" w:rsidR="00000000" w:rsidRPr="00000000">
        <w:rPr>
          <w:rtl w:val="0"/>
        </w:rPr>
        <w:t xml:space="preserve">BRASIL. Base Nacional Comum Curricular.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both"/>
        <w:rPr/>
      </w:pPr>
      <w:r w:rsidDel="00000000" w:rsidR="00000000" w:rsidRPr="00000000">
        <w:rPr>
          <w:rtl w:val="0"/>
        </w:rPr>
        <w:t xml:space="preserve">BRASIL. Ministério da Educação. Complementação à Base Nacional Comum Curricular para Computação na Educação Básica.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both"/>
        <w:rPr/>
      </w:pPr>
      <w:r w:rsidDel="00000000" w:rsidR="00000000" w:rsidRPr="00000000">
        <w:rPr>
          <w:rtl w:val="0"/>
        </w:rPr>
        <w:t xml:space="preserve">BRASIL. Conselho Nacional de Saúde. Resolução nº 510, de 7 de abril de 2016. Diário Oficial da União,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both"/>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both"/>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both"/>
        <w:rPr/>
      </w:pPr>
      <w:r w:rsidDel="00000000" w:rsidR="00000000" w:rsidRPr="00000000">
        <w:rPr>
          <w:rtl w:val="0"/>
        </w:rPr>
        <w:t xml:space="preserve">CASTELLS, Manuel. A sociedade em rede.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both"/>
        <w:rPr/>
      </w:pPr>
      <w:r w:rsidDel="00000000" w:rsidR="00000000" w:rsidRPr="00000000">
        <w:rPr>
          <w:rtl w:val="0"/>
        </w:rPr>
        <w:t>DI FELICE, Massimo. Paisagens pós-urbanas: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both"/>
        <w:rPr/>
      </w:pPr>
      <w:r w:rsidDel="00000000" w:rsidR="00000000" w:rsidRPr="00000000">
        <w:rPr>
          <w:rtl w:val="0"/>
        </w:rPr>
        <w:t xml:space="preserve">DORNELLES, Leni Vieira. Infâncias que nos escapam: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both"/>
        <w:rPr/>
      </w:pPr>
      <w:r w:rsidDel="00000000" w:rsidR="00000000" w:rsidRPr="00000000">
        <w:rPr>
          <w:rtl w:val="0"/>
        </w:rPr>
        <w:t xml:space="preserve">FREIRE, Paulo. A importância do ato de ler: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both"/>
        <w:rPr/>
      </w:pPr>
      <w:r w:rsidDel="00000000" w:rsidR="00000000" w:rsidRPr="00000000">
        <w:rPr>
          <w:rtl w:val="0"/>
        </w:rPr>
        <w:t xml:space="preserve">FREIRE, Paulo. Pedagogia da autonomia: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both"/>
        <w:rPr/>
      </w:pPr>
      <w:r w:rsidDel="00000000" w:rsidR="00000000" w:rsidRPr="00000000">
        <w:rPr>
          <w:rtl w:val="0"/>
        </w:rPr>
        <w:t xml:space="preserve">HALL, Stuart. A identidade cultural na pós-modernidade.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both"/>
        <w:rPr/>
      </w:pPr>
      <w:r w:rsidDel="00000000" w:rsidR="00000000" w:rsidRPr="00000000">
        <w:rPr>
          <w:rtl w:val="0"/>
        </w:rPr>
        <w:t xml:space="preserve">MAINARDES, Jefferson. Abordagem do ciclo de políticas: uma contribuição para a análise de políticas educacionais. Educação &amp; Sociedade,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both"/>
        <w:rPr/>
      </w:pPr>
      <w:r w:rsidDel="00000000" w:rsidR="00000000" w:rsidRPr="00000000">
        <w:rPr>
          <w:rtl w:val="0"/>
        </w:rPr>
        <w:t xml:space="preserve">MASSEY, Doreen. Pelo espaço: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both"/>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both"/>
        <w:rPr/>
      </w:pPr>
      <w:r w:rsidDel="00000000" w:rsidR="00000000" w:rsidRPr="00000000">
        <w:rPr>
          <w:rtl w:val="0"/>
        </w:rPr>
        <w:t xml:space="preserve">SANTOS, Milton. O território e o saber local: algumas categorias de análise. Cadernos IPPUR,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both"/>
        <w:rPr/>
      </w:pPr>
      <w:r w:rsidDel="00000000" w:rsidR="00000000" w:rsidRPr="00000000">
        <w:rPr>
          <w:rtl w:val="0"/>
        </w:rPr>
        <w:t xml:space="preserve">SANTOS, Milton. A natureza do espaço: técnica e tempo, razão e emoção. 4. ed. São Paulo: Edusp,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both"/>
        <w:rPr/>
      </w:pPr>
      <w:r w:rsidDel="00000000" w:rsidR="00000000" w:rsidRPr="00000000">
        <w:rPr>
          <w:rtl w:val="0"/>
        </w:rPr>
        <w:t xml:space="preserve">SANTOS, Milton. Pensando o espaço do homem.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both"/>
        <w:rPr/>
      </w:pPr>
      <w:r w:rsidDel="00000000" w:rsidR="00000000" w:rsidRPr="00000000">
        <w:rPr>
          <w:rtl w:val="0"/>
        </w:rPr>
        <w:t xml:space="preserve">SANTOS, Milton. Espaço e método.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both"/>
        <w:rPr/>
      </w:pPr>
      <w:r w:rsidDel="00000000" w:rsidR="00000000" w:rsidRPr="00000000">
        <w:rPr>
          <w:rtl w:val="0"/>
        </w:rPr>
        <w:t>SCHLEMMER, Eliane; BACKES, Luciana; BITTENCOURT, João Ricardo; PALAGI, Ana Maria (org.). O habitar do ensinar e do aprender OnLIFE: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both"/>
        <w:rPr/>
      </w:pPr>
      <w:r w:rsidDel="00000000" w:rsidR="00000000" w:rsidRPr="00000000">
        <w:rPr>
          <w:rtl w:val="0"/>
        </w:rPr>
        <w:t xml:space="preserve">VALENTE, José Armando (org.). O computador na sociedade do conhecimento.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A.1 e A.2,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da Silva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