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Roteiro de fala – Qualificação de doutorado (20 minutos)</w:t>
      </w:r>
    </w:p>
    <w:p>
      <w:r>
        <w:t>Tese: A política no canteiro da prática: norma, território e atuação profissional na implementação da educação digital escolar nos anos iniciais. Pesquisadora: Yzynya Silva Rezende Machado. Orientadora: Dra. Maria Cristina Leandro de Paiva.</w:t>
      </w:r>
    </w:p>
    <w:p>
      <w:r>
        <w:t>Como usar: o tempo de cada slide e o tempo acumulado ao lado servem de referência para o ensaio. O tempo de cada slide foi estimado pela extensão do texto, em ritmo de fala pausado. Cronometre um ensaio completo e ajuste. As frases são curtas para facilitar a leitura em voz alta; adapte livremente ao seu jeito de falar. Os tempos foram calculados a 110 palavras por minuto, com 3 segundos por troca de slide. Se o tempo apertar, os slides 12, 13 e 18 podem ser passados rapidamente.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t>Slide</w:t>
            </w:r>
          </w:p>
        </w:tc>
        <w:tc>
          <w:tcPr>
            <w:tcW w:type="dxa" w:w="2351"/>
          </w:tcPr>
          <w:p>
            <w:r>
              <w:t>Título</w:t>
            </w:r>
          </w:p>
        </w:tc>
        <w:tc>
          <w:tcPr>
            <w:tcW w:type="dxa" w:w="2351"/>
          </w:tcPr>
          <w:p>
            <w:r>
              <w:t>Tempo</w:t>
            </w:r>
          </w:p>
        </w:tc>
        <w:tc>
          <w:tcPr>
            <w:tcW w:type="dxa" w:w="2351"/>
          </w:tcPr>
          <w:p>
            <w:r>
              <w:t>Acumulado</w:t>
            </w:r>
          </w:p>
        </w:tc>
      </w:tr>
      <w:tr>
        <w:tc>
          <w:tcPr>
            <w:tcW w:type="dxa" w:w="2351"/>
          </w:tcPr>
          <w:p>
            <w:r>
              <w:t>1</w:t>
            </w:r>
          </w:p>
        </w:tc>
        <w:tc>
          <w:tcPr>
            <w:tcW w:type="dxa" w:w="2351"/>
          </w:tcPr>
          <w:p>
            <w:r>
              <w:t>Título</w:t>
            </w:r>
          </w:p>
        </w:tc>
        <w:tc>
          <w:tcPr>
            <w:tcW w:type="dxa" w:w="2351"/>
          </w:tcPr>
          <w:p>
            <w:r>
              <w:t>0:34</w:t>
            </w:r>
          </w:p>
        </w:tc>
        <w:tc>
          <w:tcPr>
            <w:tcW w:type="dxa" w:w="2351"/>
          </w:tcPr>
          <w:p>
            <w:r>
              <w:t>0:34</w:t>
            </w:r>
          </w:p>
        </w:tc>
      </w:tr>
      <w:tr>
        <w:tc>
          <w:tcPr>
            <w:tcW w:type="dxa" w:w="2351"/>
          </w:tcPr>
          <w:p>
            <w:r>
              <w:t>2</w:t>
            </w:r>
          </w:p>
        </w:tc>
        <w:tc>
          <w:tcPr>
            <w:tcW w:type="dxa" w:w="2351"/>
          </w:tcPr>
          <w:p>
            <w:r>
              <w:t>Percurso da apresentação</w:t>
            </w:r>
          </w:p>
        </w:tc>
        <w:tc>
          <w:tcPr>
            <w:tcW w:type="dxa" w:w="2351"/>
          </w:tcPr>
          <w:p>
            <w:r>
              <w:t>0:19</w:t>
            </w:r>
          </w:p>
        </w:tc>
        <w:tc>
          <w:tcPr>
            <w:tcW w:type="dxa" w:w="2351"/>
          </w:tcPr>
          <w:p>
            <w:r>
              <w:t>0:53</w:t>
            </w:r>
          </w:p>
        </w:tc>
      </w:tr>
      <w:tr>
        <w:tc>
          <w:tcPr>
            <w:tcW w:type="dxa" w:w="2351"/>
          </w:tcPr>
          <w:p>
            <w:r>
              <w:t>3</w:t>
            </w:r>
          </w:p>
        </w:tc>
        <w:tc>
          <w:tcPr>
            <w:tcW w:type="dxa" w:w="2351"/>
          </w:tcPr>
          <w:p>
            <w:r>
              <w:t>A tese em uma imagem: o vazio material</w:t>
            </w:r>
          </w:p>
        </w:tc>
        <w:tc>
          <w:tcPr>
            <w:tcW w:type="dxa" w:w="2351"/>
          </w:tcPr>
          <w:p>
            <w:r>
              <w:t>1:18</w:t>
            </w:r>
          </w:p>
        </w:tc>
        <w:tc>
          <w:tcPr>
            <w:tcW w:type="dxa" w:w="2351"/>
          </w:tcPr>
          <w:p>
            <w:r>
              <w:t>2:11</w:t>
            </w:r>
          </w:p>
        </w:tc>
      </w:tr>
      <w:tr>
        <w:tc>
          <w:tcPr>
            <w:tcW w:type="dxa" w:w="2351"/>
          </w:tcPr>
          <w:p>
            <w:r>
              <w:t>4</w:t>
            </w:r>
          </w:p>
        </w:tc>
        <w:tc>
          <w:tcPr>
            <w:tcW w:type="dxa" w:w="2351"/>
          </w:tcPr>
          <w:p>
            <w:r>
              <w:t>Trajetória: de onde parto</w:t>
            </w:r>
          </w:p>
        </w:tc>
        <w:tc>
          <w:tcPr>
            <w:tcW w:type="dxa" w:w="2351"/>
          </w:tcPr>
          <w:p>
            <w:r>
              <w:t>0:58</w:t>
            </w:r>
          </w:p>
        </w:tc>
        <w:tc>
          <w:tcPr>
            <w:tcW w:type="dxa" w:w="2351"/>
          </w:tcPr>
          <w:p>
            <w:r>
              <w:t>3:09</w:t>
            </w:r>
          </w:p>
        </w:tc>
      </w:tr>
      <w:tr>
        <w:tc>
          <w:tcPr>
            <w:tcW w:type="dxa" w:w="2351"/>
          </w:tcPr>
          <w:p>
            <w:r>
              <w:t>5</w:t>
            </w:r>
          </w:p>
        </w:tc>
        <w:tc>
          <w:tcPr>
            <w:tcW w:type="dxa" w:w="2351"/>
          </w:tcPr>
          <w:p>
            <w:r>
              <w:t>O objeto e o recorte</w:t>
            </w:r>
          </w:p>
        </w:tc>
        <w:tc>
          <w:tcPr>
            <w:tcW w:type="dxa" w:w="2351"/>
          </w:tcPr>
          <w:p>
            <w:r>
              <w:t>0:45</w:t>
            </w:r>
          </w:p>
        </w:tc>
        <w:tc>
          <w:tcPr>
            <w:tcW w:type="dxa" w:w="2351"/>
          </w:tcPr>
          <w:p>
            <w:r>
              <w:t>3:54</w:t>
            </w:r>
          </w:p>
        </w:tc>
      </w:tr>
      <w:tr>
        <w:tc>
          <w:tcPr>
            <w:tcW w:type="dxa" w:w="2351"/>
          </w:tcPr>
          <w:p>
            <w:r>
              <w:t>6</w:t>
            </w:r>
          </w:p>
        </w:tc>
        <w:tc>
          <w:tcPr>
            <w:tcW w:type="dxa" w:w="2351"/>
          </w:tcPr>
          <w:p>
            <w:r>
              <w:t>Do portão para fora, do portão para dentro</w:t>
            </w:r>
          </w:p>
        </w:tc>
        <w:tc>
          <w:tcPr>
            <w:tcW w:type="dxa" w:w="2351"/>
          </w:tcPr>
          <w:p>
            <w:r>
              <w:t>0:46</w:t>
            </w:r>
          </w:p>
        </w:tc>
        <w:tc>
          <w:tcPr>
            <w:tcW w:type="dxa" w:w="2351"/>
          </w:tcPr>
          <w:p>
            <w:r>
              <w:t>4:40</w:t>
            </w:r>
          </w:p>
        </w:tc>
      </w:tr>
      <w:tr>
        <w:tc>
          <w:tcPr>
            <w:tcW w:type="dxa" w:w="2351"/>
          </w:tcPr>
          <w:p>
            <w:r>
              <w:t>7</w:t>
            </w:r>
          </w:p>
        </w:tc>
        <w:tc>
          <w:tcPr>
            <w:tcW w:type="dxa" w:w="2351"/>
          </w:tcPr>
          <w:p>
            <w:r>
              <w:t>Questão norteadora e objetivos</w:t>
            </w:r>
          </w:p>
        </w:tc>
        <w:tc>
          <w:tcPr>
            <w:tcW w:type="dxa" w:w="2351"/>
          </w:tcPr>
          <w:p>
            <w:r>
              <w:t>0:46</w:t>
            </w:r>
          </w:p>
        </w:tc>
        <w:tc>
          <w:tcPr>
            <w:tcW w:type="dxa" w:w="2351"/>
          </w:tcPr>
          <w:p>
            <w:r>
              <w:t>5:26</w:t>
            </w:r>
          </w:p>
        </w:tc>
      </w:tr>
      <w:tr>
        <w:tc>
          <w:tcPr>
            <w:tcW w:type="dxa" w:w="2351"/>
          </w:tcPr>
          <w:p>
            <w:r>
              <w:t>8</w:t>
            </w:r>
          </w:p>
        </w:tc>
        <w:tc>
          <w:tcPr>
            <w:tcW w:type="dxa" w:w="2351"/>
          </w:tcPr>
          <w:p>
            <w:r>
              <w:t>Contribuição inédita: discricionariedade substitutiva</w:t>
            </w:r>
          </w:p>
        </w:tc>
        <w:tc>
          <w:tcPr>
            <w:tcW w:type="dxa" w:w="2351"/>
          </w:tcPr>
          <w:p>
            <w:r>
              <w:t>0:50</w:t>
            </w:r>
          </w:p>
        </w:tc>
        <w:tc>
          <w:tcPr>
            <w:tcW w:type="dxa" w:w="2351"/>
          </w:tcPr>
          <w:p>
            <w:r>
              <w:t>6:16</w:t>
            </w:r>
          </w:p>
        </w:tc>
      </w:tr>
      <w:tr>
        <w:tc>
          <w:tcPr>
            <w:tcW w:type="dxa" w:w="2351"/>
          </w:tcPr>
          <w:p>
            <w:r>
              <w:t>9</w:t>
            </w:r>
          </w:p>
        </w:tc>
        <w:tc>
          <w:tcPr>
            <w:tcW w:type="dxa" w:w="2351"/>
          </w:tcPr>
          <w:p>
            <w:r>
              <w:t>Três componentes e os riscos a analisar</w:t>
            </w:r>
          </w:p>
        </w:tc>
        <w:tc>
          <w:tcPr>
            <w:tcW w:type="dxa" w:w="2351"/>
          </w:tcPr>
          <w:p>
            <w:r>
              <w:t>0:32</w:t>
            </w:r>
          </w:p>
        </w:tc>
        <w:tc>
          <w:tcPr>
            <w:tcW w:type="dxa" w:w="2351"/>
          </w:tcPr>
          <w:p>
            <w:r>
              <w:t>6:48</w:t>
            </w:r>
          </w:p>
        </w:tc>
      </w:tr>
      <w:tr>
        <w:tc>
          <w:tcPr>
            <w:tcW w:type="dxa" w:w="2351"/>
          </w:tcPr>
          <w:p>
            <w:r>
              <w:t>10</w:t>
            </w:r>
          </w:p>
        </w:tc>
        <w:tc>
          <w:tcPr>
            <w:tcW w:type="dxa" w:w="2351"/>
          </w:tcPr>
          <w:p>
            <w:r>
              <w:t>Três formulações, dois estatutos</w:t>
            </w:r>
          </w:p>
        </w:tc>
        <w:tc>
          <w:tcPr>
            <w:tcW w:type="dxa" w:w="2351"/>
          </w:tcPr>
          <w:p>
            <w:r>
              <w:t>0:21</w:t>
            </w:r>
          </w:p>
        </w:tc>
        <w:tc>
          <w:tcPr>
            <w:tcW w:type="dxa" w:w="2351"/>
          </w:tcPr>
          <w:p>
            <w:r>
              <w:t>7:09</w:t>
            </w:r>
          </w:p>
        </w:tc>
      </w:tr>
      <w:tr>
        <w:tc>
          <w:tcPr>
            <w:tcW w:type="dxa" w:w="2351"/>
          </w:tcPr>
          <w:p>
            <w:r>
              <w:t>11</w:t>
            </w:r>
          </w:p>
        </w:tc>
        <w:tc>
          <w:tcPr>
            <w:tcW w:type="dxa" w:w="2351"/>
          </w:tcPr>
          <w:p>
            <w:r>
              <w:t>O motor teórico: duas engrenagens e o fosso</w:t>
            </w:r>
          </w:p>
        </w:tc>
        <w:tc>
          <w:tcPr>
            <w:tcW w:type="dxa" w:w="2351"/>
          </w:tcPr>
          <w:p>
            <w:r>
              <w:t>0:56</w:t>
            </w:r>
          </w:p>
        </w:tc>
        <w:tc>
          <w:tcPr>
            <w:tcW w:type="dxa" w:w="2351"/>
          </w:tcPr>
          <w:p>
            <w:r>
              <w:t>8:05</w:t>
            </w:r>
          </w:p>
        </w:tc>
      </w:tr>
      <w:tr>
        <w:tc>
          <w:tcPr>
            <w:tcW w:type="dxa" w:w="2351"/>
          </w:tcPr>
          <w:p>
            <w:r>
              <w:t>12</w:t>
            </w:r>
          </w:p>
        </w:tc>
        <w:tc>
          <w:tcPr>
            <w:tcW w:type="dxa" w:w="2351"/>
          </w:tcPr>
          <w:p>
            <w:r>
              <w:t>A tessitura: os fios que sustentam a tese</w:t>
            </w:r>
          </w:p>
        </w:tc>
        <w:tc>
          <w:tcPr>
            <w:tcW w:type="dxa" w:w="2351"/>
          </w:tcPr>
          <w:p>
            <w:r>
              <w:t>0:27</w:t>
            </w:r>
          </w:p>
        </w:tc>
        <w:tc>
          <w:tcPr>
            <w:tcW w:type="dxa" w:w="2351"/>
          </w:tcPr>
          <w:p>
            <w:r>
              <w:t>8:32</w:t>
            </w:r>
          </w:p>
        </w:tc>
      </w:tr>
      <w:tr>
        <w:tc>
          <w:tcPr>
            <w:tcW w:type="dxa" w:w="2351"/>
          </w:tcPr>
          <w:p>
            <w:r>
              <w:t>13</w:t>
            </w:r>
          </w:p>
        </w:tc>
        <w:tc>
          <w:tcPr>
            <w:tcW w:type="dxa" w:w="2351"/>
          </w:tcPr>
          <w:p>
            <w:r>
              <w:t>Onde os referenciais deixam de cobrir o caso</w:t>
            </w:r>
          </w:p>
        </w:tc>
        <w:tc>
          <w:tcPr>
            <w:tcW w:type="dxa" w:w="2351"/>
          </w:tcPr>
          <w:p>
            <w:r>
              <w:t>0:22</w:t>
            </w:r>
          </w:p>
        </w:tc>
        <w:tc>
          <w:tcPr>
            <w:tcW w:type="dxa" w:w="2351"/>
          </w:tcPr>
          <w:p>
            <w:r>
              <w:t>8:54</w:t>
            </w:r>
          </w:p>
        </w:tc>
      </w:tr>
      <w:tr>
        <w:tc>
          <w:tcPr>
            <w:tcW w:type="dxa" w:w="2351"/>
          </w:tcPr>
          <w:p>
            <w:r>
              <w:t>14</w:t>
            </w:r>
          </w:p>
        </w:tc>
        <w:tc>
          <w:tcPr>
            <w:tcW w:type="dxa" w:w="2351"/>
          </w:tcPr>
          <w:p>
            <w:r>
              <w:t>A revisão sistemática: questão e resposta</w:t>
            </w:r>
          </w:p>
        </w:tc>
        <w:tc>
          <w:tcPr>
            <w:tcW w:type="dxa" w:w="2351"/>
          </w:tcPr>
          <w:p>
            <w:r>
              <w:t>0:58</w:t>
            </w:r>
          </w:p>
        </w:tc>
        <w:tc>
          <w:tcPr>
            <w:tcW w:type="dxa" w:w="2351"/>
          </w:tcPr>
          <w:p>
            <w:r>
              <w:t>9:52</w:t>
            </w:r>
          </w:p>
        </w:tc>
      </w:tr>
      <w:tr>
        <w:tc>
          <w:tcPr>
            <w:tcW w:type="dxa" w:w="2351"/>
          </w:tcPr>
          <w:p>
            <w:r>
              <w:t>15</w:t>
            </w:r>
          </w:p>
        </w:tc>
        <w:tc>
          <w:tcPr>
            <w:tcW w:type="dxa" w:w="2351"/>
          </w:tcPr>
          <w:p>
            <w:r>
              <w:t>Desenho: estudo de caso único, qualitativo</w:t>
            </w:r>
          </w:p>
        </w:tc>
        <w:tc>
          <w:tcPr>
            <w:tcW w:type="dxa" w:w="2351"/>
          </w:tcPr>
          <w:p>
            <w:r>
              <w:t>0:37</w:t>
            </w:r>
          </w:p>
        </w:tc>
        <w:tc>
          <w:tcPr>
            <w:tcW w:type="dxa" w:w="2351"/>
          </w:tcPr>
          <w:p>
            <w:r>
              <w:t>10:29</w:t>
            </w:r>
          </w:p>
        </w:tc>
      </w:tr>
      <w:tr>
        <w:tc>
          <w:tcPr>
            <w:tcW w:type="dxa" w:w="2351"/>
          </w:tcPr>
          <w:p>
            <w:r>
              <w:t>16</w:t>
            </w:r>
          </w:p>
        </w:tc>
        <w:tc>
          <w:tcPr>
            <w:tcW w:type="dxa" w:w="2351"/>
          </w:tcPr>
          <w:p>
            <w:r>
              <w:t>Como a categoria pode falhar</w:t>
            </w:r>
          </w:p>
        </w:tc>
        <w:tc>
          <w:tcPr>
            <w:tcW w:type="dxa" w:w="2351"/>
          </w:tcPr>
          <w:p>
            <w:r>
              <w:t>0:41</w:t>
            </w:r>
          </w:p>
        </w:tc>
        <w:tc>
          <w:tcPr>
            <w:tcW w:type="dxa" w:w="2351"/>
          </w:tcPr>
          <w:p>
            <w:r>
              <w:t>11:10</w:t>
            </w:r>
          </w:p>
        </w:tc>
      </w:tr>
      <w:tr>
        <w:tc>
          <w:tcPr>
            <w:tcW w:type="dxa" w:w="2351"/>
          </w:tcPr>
          <w:p>
            <w:r>
              <w:t>17</w:t>
            </w:r>
          </w:p>
        </w:tc>
        <w:tc>
          <w:tcPr>
            <w:tcW w:type="dxa" w:w="2351"/>
          </w:tcPr>
          <w:p>
            <w:r>
              <w:t>A agenda internacional: das presenças às condições</w:t>
            </w:r>
          </w:p>
        </w:tc>
        <w:tc>
          <w:tcPr>
            <w:tcW w:type="dxa" w:w="2351"/>
          </w:tcPr>
          <w:p>
            <w:r>
              <w:t>0:49</w:t>
            </w:r>
          </w:p>
        </w:tc>
        <w:tc>
          <w:tcPr>
            <w:tcW w:type="dxa" w:w="2351"/>
          </w:tcPr>
          <w:p>
            <w:r>
              <w:t>11:59</w:t>
            </w:r>
          </w:p>
        </w:tc>
      </w:tr>
      <w:tr>
        <w:tc>
          <w:tcPr>
            <w:tcW w:type="dxa" w:w="2351"/>
          </w:tcPr>
          <w:p>
            <w:r>
              <w:t>18</w:t>
            </w:r>
          </w:p>
        </w:tc>
        <w:tc>
          <w:tcPr>
            <w:tcW w:type="dxa" w:w="2351"/>
          </w:tcPr>
          <w:p>
            <w:r>
              <w:t>Mapa das políticas de educação digital</w:t>
            </w:r>
          </w:p>
        </w:tc>
        <w:tc>
          <w:tcPr>
            <w:tcW w:type="dxa" w:w="2351"/>
          </w:tcPr>
          <w:p>
            <w:r>
              <w:t>0:16</w:t>
            </w:r>
          </w:p>
        </w:tc>
        <w:tc>
          <w:tcPr>
            <w:tcW w:type="dxa" w:w="2351"/>
          </w:tcPr>
          <w:p>
            <w:r>
              <w:t>12:15</w:t>
            </w:r>
          </w:p>
        </w:tc>
      </w:tr>
      <w:tr>
        <w:tc>
          <w:tcPr>
            <w:tcW w:type="dxa" w:w="2351"/>
          </w:tcPr>
          <w:p>
            <w:r>
              <w:t>19</w:t>
            </w:r>
          </w:p>
        </w:tc>
        <w:tc>
          <w:tcPr>
            <w:tcW w:type="dxa" w:w="2351"/>
          </w:tcPr>
          <w:p>
            <w:r>
              <w:t>O que essas experiências trazem para a tese</w:t>
            </w:r>
          </w:p>
        </w:tc>
        <w:tc>
          <w:tcPr>
            <w:tcW w:type="dxa" w:w="2351"/>
          </w:tcPr>
          <w:p>
            <w:r>
              <w:t>0:39</w:t>
            </w:r>
          </w:p>
        </w:tc>
        <w:tc>
          <w:tcPr>
            <w:tcW w:type="dxa" w:w="2351"/>
          </w:tcPr>
          <w:p>
            <w:r>
              <w:t>12:54</w:t>
            </w:r>
          </w:p>
        </w:tc>
      </w:tr>
      <w:tr>
        <w:tc>
          <w:tcPr>
            <w:tcW w:type="dxa" w:w="2351"/>
          </w:tcPr>
          <w:p>
            <w:r>
              <w:t>20</w:t>
            </w:r>
          </w:p>
        </w:tc>
        <w:tc>
          <w:tcPr>
            <w:tcW w:type="dxa" w:w="2351"/>
          </w:tcPr>
          <w:p>
            <w:r>
              <w:t>Quatro décadas até a PNED</w:t>
            </w:r>
          </w:p>
        </w:tc>
        <w:tc>
          <w:tcPr>
            <w:tcW w:type="dxa" w:w="2351"/>
          </w:tcPr>
          <w:p>
            <w:r>
              <w:t>0:32</w:t>
            </w:r>
          </w:p>
        </w:tc>
        <w:tc>
          <w:tcPr>
            <w:tcW w:type="dxa" w:w="2351"/>
          </w:tcPr>
          <w:p>
            <w:r>
              <w:t>13:26</w:t>
            </w:r>
          </w:p>
        </w:tc>
      </w:tr>
      <w:tr>
        <w:tc>
          <w:tcPr>
            <w:tcW w:type="dxa" w:w="2351"/>
          </w:tcPr>
          <w:p>
            <w:r>
              <w:t>21</w:t>
            </w:r>
          </w:p>
        </w:tc>
        <w:tc>
          <w:tcPr>
            <w:tcW w:type="dxa" w:w="2351"/>
          </w:tcPr>
          <w:p>
            <w:r>
              <w:t>Por que a PNED importa</w:t>
            </w:r>
          </w:p>
        </w:tc>
        <w:tc>
          <w:tcPr>
            <w:tcW w:type="dxa" w:w="2351"/>
          </w:tcPr>
          <w:p>
            <w:r>
              <w:t>0:27</w:t>
            </w:r>
          </w:p>
        </w:tc>
        <w:tc>
          <w:tcPr>
            <w:tcW w:type="dxa" w:w="2351"/>
          </w:tcPr>
          <w:p>
            <w:r>
              <w:t>13:53</w:t>
            </w:r>
          </w:p>
        </w:tc>
      </w:tr>
      <w:tr>
        <w:tc>
          <w:tcPr>
            <w:tcW w:type="dxa" w:w="2351"/>
          </w:tcPr>
          <w:p>
            <w:r>
              <w:t>22</w:t>
            </w:r>
          </w:p>
        </w:tc>
        <w:tc>
          <w:tcPr>
            <w:tcW w:type="dxa" w:w="2351"/>
          </w:tcPr>
          <w:p>
            <w:r>
              <w:t>A PNED e o calendário da exigência</w:t>
            </w:r>
          </w:p>
        </w:tc>
        <w:tc>
          <w:tcPr>
            <w:tcW w:type="dxa" w:w="2351"/>
          </w:tcPr>
          <w:p>
            <w:r>
              <w:t>0:19</w:t>
            </w:r>
          </w:p>
        </w:tc>
        <w:tc>
          <w:tcPr>
            <w:tcW w:type="dxa" w:w="2351"/>
          </w:tcPr>
          <w:p>
            <w:r>
              <w:t>14:12</w:t>
            </w:r>
          </w:p>
        </w:tc>
      </w:tr>
      <w:tr>
        <w:tc>
          <w:tcPr>
            <w:tcW w:type="dxa" w:w="2351"/>
          </w:tcPr>
          <w:p>
            <w:r>
              <w:t>23</w:t>
            </w:r>
          </w:p>
        </w:tc>
        <w:tc>
          <w:tcPr>
            <w:tcW w:type="dxa" w:w="2351"/>
          </w:tcPr>
          <w:p>
            <w:r>
              <w:t>A promessa e o desenho</w:t>
            </w:r>
          </w:p>
        </w:tc>
        <w:tc>
          <w:tcPr>
            <w:tcW w:type="dxa" w:w="2351"/>
          </w:tcPr>
          <w:p>
            <w:r>
              <w:t>0:53</w:t>
            </w:r>
          </w:p>
        </w:tc>
        <w:tc>
          <w:tcPr>
            <w:tcW w:type="dxa" w:w="2351"/>
          </w:tcPr>
          <w:p>
            <w:r>
              <w:t>15:05</w:t>
            </w:r>
          </w:p>
        </w:tc>
      </w:tr>
      <w:tr>
        <w:tc>
          <w:tcPr>
            <w:tcW w:type="dxa" w:w="2351"/>
          </w:tcPr>
          <w:p>
            <w:r>
              <w:t>24</w:t>
            </w:r>
          </w:p>
        </w:tc>
        <w:tc>
          <w:tcPr>
            <w:tcW w:type="dxa" w:w="2351"/>
          </w:tcPr>
          <w:p>
            <w:r>
              <w:t>A antiga Pipa: trabalho, moradia e mar</w:t>
            </w:r>
          </w:p>
        </w:tc>
        <w:tc>
          <w:tcPr>
            <w:tcW w:type="dxa" w:w="2351"/>
          </w:tcPr>
          <w:p>
            <w:r>
              <w:t>0:31</w:t>
            </w:r>
          </w:p>
        </w:tc>
        <w:tc>
          <w:tcPr>
            <w:tcW w:type="dxa" w:w="2351"/>
          </w:tcPr>
          <w:p>
            <w:r>
              <w:t>15:36</w:t>
            </w:r>
          </w:p>
        </w:tc>
      </w:tr>
      <w:tr>
        <w:tc>
          <w:tcPr>
            <w:tcW w:type="dxa" w:w="2351"/>
          </w:tcPr>
          <w:p>
            <w:r>
              <w:t>25</w:t>
            </w:r>
          </w:p>
        </w:tc>
        <w:tc>
          <w:tcPr>
            <w:tcW w:type="dxa" w:w="2351"/>
          </w:tcPr>
          <w:p>
            <w:r>
              <w:t>A Pipa de hoje: um território conectado</w:t>
            </w:r>
          </w:p>
        </w:tc>
        <w:tc>
          <w:tcPr>
            <w:tcW w:type="dxa" w:w="2351"/>
          </w:tcPr>
          <w:p>
            <w:r>
              <w:t>0:50</w:t>
            </w:r>
          </w:p>
        </w:tc>
        <w:tc>
          <w:tcPr>
            <w:tcW w:type="dxa" w:w="2351"/>
          </w:tcPr>
          <w:p>
            <w:r>
              <w:t>16:26</w:t>
            </w:r>
          </w:p>
        </w:tc>
      </w:tr>
      <w:tr>
        <w:tc>
          <w:tcPr>
            <w:tcW w:type="dxa" w:w="2351"/>
          </w:tcPr>
          <w:p>
            <w:r>
              <w:t>26</w:t>
            </w:r>
          </w:p>
        </w:tc>
        <w:tc>
          <w:tcPr>
            <w:tcW w:type="dxa" w:w="2351"/>
          </w:tcPr>
          <w:p>
            <w:r>
              <w:t>Na escola: o que existe e onde está</w:t>
            </w:r>
          </w:p>
        </w:tc>
        <w:tc>
          <w:tcPr>
            <w:tcW w:type="dxa" w:w="2351"/>
          </w:tcPr>
          <w:p>
            <w:r>
              <w:t>0:46</w:t>
            </w:r>
          </w:p>
        </w:tc>
        <w:tc>
          <w:tcPr>
            <w:tcW w:type="dxa" w:w="2351"/>
          </w:tcPr>
          <w:p>
            <w:r>
              <w:t>17:12</w:t>
            </w:r>
          </w:p>
        </w:tc>
      </w:tr>
      <w:tr>
        <w:tc>
          <w:tcPr>
            <w:tcW w:type="dxa" w:w="2351"/>
          </w:tcPr>
          <w:p>
            <w:r>
              <w:t>27</w:t>
            </w:r>
          </w:p>
        </w:tc>
        <w:tc>
          <w:tcPr>
            <w:tcW w:type="dxa" w:w="2351"/>
          </w:tcPr>
          <w:p>
            <w:r>
              <w:t>Onde estamos e o que falta</w:t>
            </w:r>
          </w:p>
        </w:tc>
        <w:tc>
          <w:tcPr>
            <w:tcW w:type="dxa" w:w="2351"/>
          </w:tcPr>
          <w:p>
            <w:r>
              <w:t>0:22</w:t>
            </w:r>
          </w:p>
        </w:tc>
        <w:tc>
          <w:tcPr>
            <w:tcW w:type="dxa" w:w="2351"/>
          </w:tcPr>
          <w:p>
            <w:r>
              <w:t>17:34</w:t>
            </w:r>
          </w:p>
        </w:tc>
      </w:tr>
      <w:tr>
        <w:tc>
          <w:tcPr>
            <w:tcW w:type="dxa" w:w="2351"/>
          </w:tcPr>
          <w:p>
            <w:r>
              <w:t>28</w:t>
            </w:r>
          </w:p>
        </w:tc>
        <w:tc>
          <w:tcPr>
            <w:tcW w:type="dxa" w:w="2351"/>
          </w:tcPr>
          <w:p>
            <w:r>
              <w:t>O que submeto à banca</w:t>
            </w:r>
          </w:p>
        </w:tc>
        <w:tc>
          <w:tcPr>
            <w:tcW w:type="dxa" w:w="2351"/>
          </w:tcPr>
          <w:p>
            <w:r>
              <w:t>0:29</w:t>
            </w:r>
          </w:p>
        </w:tc>
        <w:tc>
          <w:tcPr>
            <w:tcW w:type="dxa" w:w="2351"/>
          </w:tcPr>
          <w:p>
            <w:r>
              <w:t>18:03</w:t>
            </w:r>
          </w:p>
        </w:tc>
      </w:tr>
      <w:tr>
        <w:tc>
          <w:tcPr>
            <w:tcW w:type="dxa" w:w="2351"/>
          </w:tcPr>
          <w:p>
            <w:r>
              <w:t>29</w:t>
            </w:r>
          </w:p>
        </w:tc>
        <w:tc>
          <w:tcPr>
            <w:tcW w:type="dxa" w:w="2351"/>
          </w:tcPr>
          <w:p>
            <w:r>
              <w:t>A questão aberta / Agradecimento</w:t>
            </w:r>
          </w:p>
        </w:tc>
        <w:tc>
          <w:tcPr>
            <w:tcW w:type="dxa" w:w="2351"/>
          </w:tcPr>
          <w:p>
            <w:r>
              <w:t>0:25</w:t>
            </w:r>
          </w:p>
        </w:tc>
        <w:tc>
          <w:tcPr>
            <w:tcW w:type="dxa" w:w="2351"/>
          </w:tcPr>
          <w:p>
            <w:r>
              <w:t>18:28</w:t>
            </w:r>
          </w:p>
        </w:tc>
      </w:tr>
      <w:tr>
        <w:tc>
          <w:tcPr>
            <w:tcW w:type="dxa" w:w="2351"/>
          </w:tcPr>
          <w:p>
            <w:r>
              <w:t>30</w:t>
            </w:r>
          </w:p>
        </w:tc>
        <w:tc>
          <w:tcPr>
            <w:tcW w:type="dxa" w:w="2351"/>
          </w:tcPr>
          <w:p>
            <w:r>
              <w:t>Referências</w:t>
            </w:r>
          </w:p>
        </w:tc>
        <w:tc>
          <w:tcPr>
            <w:tcW w:type="dxa" w:w="2351"/>
          </w:tcPr>
          <w:p>
            <w:r>
              <w:t>—</w:t>
            </w:r>
          </w:p>
        </w:tc>
        <w:tc>
          <w:tcPr>
            <w:tcW w:type="dxa" w:w="2351"/>
          </w:tcPr>
          <w:p>
            <w:r>
              <w:t>—</w:t>
            </w:r>
          </w:p>
        </w:tc>
      </w:tr>
    </w:tbl>
    <w:p>
      <w:pPr>
        <w:pStyle w:val="Heading2"/>
      </w:pPr>
      <w:r>
        <w:t>Slide 1 – Título  (0:34; acumulado 0:34)</w:t>
      </w:r>
    </w:p>
    <w:p>
      <w:r>
        <w:t>Bom dia a todas e a todos. Agradeço à banca pela leitura cuidadosa e à minha orientadora, professora Maria Cristina Leandro de Paiva. Apresento a qualificação da tese “A política no canteiro da prática”, sobre a chegada do eixo Educação Digital Escolar da PNED aos anos iniciais de uma escola pública de Pipa, em Tibau do Sul.</w:t>
      </w:r>
    </w:p>
    <w:p>
      <w:pPr>
        <w:pStyle w:val="Heading2"/>
      </w:pPr>
      <w:r>
        <w:t>Slide 2 – Percurso da apresentação  (0:19; acumulado 0:53)</w:t>
      </w:r>
    </w:p>
    <w:p>
      <w:r>
        <w:t>A fala tem seis partes: a proposta da tese, a revisão sistemática, a metodologia, a agenda internacional e a PNED, o território e a escola, e o que ainda falta.</w:t>
      </w:r>
    </w:p>
    <w:p>
      <w:pPr>
        <w:pStyle w:val="Heading2"/>
      </w:pPr>
      <w:r>
        <w:t>Slide 3 – A tese em uma imagem: o vazio material  (1:18; acumulado 2:11)</w:t>
      </w:r>
    </w:p>
    <w:p>
      <w:r>
        <w:t>Começo pela síntese. O objeto é a implementação do eixo Educação Digital Escolar nas turmas de 1º e 2º anos da Escola Municipal Domitila Castelo. A Lei nº 14.533, de 2023, fez da educação digital um direito, um dever do Estado e um componente curricular. O problema está na distância entre esse direito e os meios garantidos: formação, rede e tempo de planejamento não estão assegurados pela norma e acabam sendo construídos no dia a dia da escola. Daí a questão norteadora: como ocorre essa implementação, considerando a interpretação, a tradução e a recontextualização feitas pelos profissionais no contexto da prática. A imagem é ilustrativa e foi gerada por inteligência artificial. Dito de outro modo, a tese pergunta o que acontece com uma política quando o direito chega antes dos meios, e quem, na escola, ocupa esse intervalo.</w:t>
      </w:r>
    </w:p>
    <w:p>
      <w:pPr>
        <w:pStyle w:val="Heading2"/>
      </w:pPr>
      <w:r>
        <w:t>Slide 4 – Trajetória: de onde parto  (0:58; acumulado 3:09)</w:t>
      </w:r>
    </w:p>
    <w:p>
      <w:r>
        <w:t>Falo de dentro. Convivo com Pipa há quase duas décadas, trabalhei dezoito anos na rede municipal e fiz o mestrado na mesma escola, no ensino remoto, quando 70% das crianças dividiam o celular com os pais. Por isso fixei uma regra: a memória não é dado. A trajetória orienta o olhar; as evidências vêm dos instrumentos. O diário de campo registra o percurso, mas não é uma quinta fonte. Como o município é um dos entes a quem a lei distribui a provisão dos meios, preciso também cuidar para que minha posição não limite a liberdade dos participantes nas entrevistas.</w:t>
      </w:r>
    </w:p>
    <w:p>
      <w:pPr>
        <w:pStyle w:val="Heading2"/>
      </w:pPr>
      <w:r>
        <w:t>Slide 5 – O objeto e o recorte  (0:45; acumulado 3:54)</w:t>
      </w:r>
    </w:p>
    <w:p>
      <w:r>
        <w:t>Escolhi o 1º e o 2º anos porque a mesma professora acompanha a turma o dia todo, e a decisão sobre a educação digital tem autoria identificável. É também a entrada no Ensino Fundamental, com crianças de experiências digitais muito desiguais. Ficam de fora a avaliação da aprendizagem e a observação de aulas; plataformização e dados entram só como contexto. As crianças não participam da produção de dados; suas experiências chegam pelas condições que os profissionais encontram.</w:t>
      </w:r>
    </w:p>
    <w:p>
      <w:pPr>
        <w:pStyle w:val="Heading2"/>
      </w:pPr>
      <w:r>
        <w:t>Slide 6 – Do portão para fora, do portão para dentro  (0:46; acumulado 4:40)</w:t>
      </w:r>
    </w:p>
    <w:p>
      <w:r>
        <w:t>Do portão para fora, Pipa vende hospedagem e passeios pela internet. Do portão para dentro, o laboratório aparece com os computadores desligados e as salas de 1º e 2º anos não têm nenhum dispositivo. O mesmo território reúne alta conectividade e uma escola sem esses recursos nas mesmas condições. Os dados nacionais apontam na mesma direção: a conexão chegou à maioria das escolas brasileiras, mas os computadores para os alunos não cresceram na mesma medida, sobretudo nas escolas rurais.</w:t>
      </w:r>
    </w:p>
    <w:p>
      <w:pPr>
        <w:pStyle w:val="Heading2"/>
      </w:pPr>
      <w:r>
        <w:t>Slide 7 – Questão norteadora e objetivos  (0:46; acumulado 5:26)</w:t>
      </w:r>
    </w:p>
    <w:p>
      <w:r>
        <w:t>Os três objetivos específicos seguem a ordem da análise: o que a política promete e com que meios, no Capítulo 5; que condições recebem a política em Pipa, no Capítulo 6; e o que os profissionais fazem com a distância entre a norma e as condições, no Capítulo 7, depois do campo. O objetivo geral reúne os três: analisar a implementação do eixo considerando a norma, as condições institucionais e territoriais e o trabalho de interpretação dos profissionais.</w:t>
      </w:r>
    </w:p>
    <w:p>
      <w:pPr>
        <w:pStyle w:val="Heading2"/>
      </w:pPr>
      <w:r>
        <w:t>Slide 8 – Contribuição inédita: discricionariedade substitutiva  (0:50; acumulado 6:16)</w:t>
      </w:r>
    </w:p>
    <w:p>
      <w:r>
        <w:t>Lipsky descreve a discricionariedade diante de recursos escassos: fila, revezamento, racionamento; decide-se quem recebe. Em Pipa pode ser diferente. Quando o direito é declarado e os meios não chegam, a decisão pode recair sobre o que não existe, e a profissional supre a falta com aparelho, internet, material, conhecimento ou tempo próprios. Mudam o objeto da decisão e quem paga por ela. É uma proposição, e não um achado. Por isso fixei, antes de qualquer entrevista, as condições em que terei de confirmá-la, delimitá-la, renomeá-la ou abandoná-la.</w:t>
      </w:r>
    </w:p>
    <w:p>
      <w:pPr>
        <w:pStyle w:val="Heading2"/>
      </w:pPr>
      <w:r>
        <w:t>Slide 9 – Três componentes e os riscos a analisar  (0:32; acumulado 6:48)</w:t>
      </w:r>
    </w:p>
    <w:p>
      <w:r>
        <w:t>A categoria tem três componentes: não há recurso a distribuir; há substituição com meios próprios; e há custo pessoal, assumido diante de crianças e famílias que a professora reencontra no território. Os riscos, como a variação do eixo entre turmas e o uso de aparelhos pessoais com crianças, serão analisados, e não presumidos.</w:t>
      </w:r>
    </w:p>
    <w:p>
      <w:pPr>
        <w:pStyle w:val="Heading2"/>
      </w:pPr>
      <w:r>
        <w:t>Slide 10 – Três formulações, dois estatutos  (0:21; acumulado 7:09)</w:t>
      </w:r>
    </w:p>
    <w:p>
      <w:r>
        <w:t>A tese trabalha com três formulações, mas com estatutos diferentes. Habitar digital e rugosidade tecnológica são condições documentadas no Capítulo 6. A discricionariedade substitutiva é uma hipótese, a única em jogo nas entrevistas.</w:t>
      </w:r>
    </w:p>
    <w:p>
      <w:pPr>
        <w:pStyle w:val="Heading2"/>
      </w:pPr>
      <w:r>
        <w:t>Slide 11 – O motor teórico: duas engrenagens e o fosso  (0:56; acumulado 8:05)</w:t>
      </w:r>
    </w:p>
    <w:p>
      <w:r>
        <w:t>O quadro teórico tem duas engrenagens. O Ciclo de Políticas mostra que a política é recriada no contexto da prática; Lipsky mostra que a decisão na ponta vira a política praticada. O encaixe é a recontextualização. O fosso aparece porque as duas supõem que os meios existem, e nenhuma nomeia a decisão sobre o que não existe. É aí que situo a contribuição. A ACP pensa a recriação da política em relação aos meios disponíveis; Lipsky, o racionamento de um serviço que existe. Quando o meio simplesmente não chega, falta nome para a decisão que se toma.</w:t>
      </w:r>
    </w:p>
    <w:p>
      <w:pPr>
        <w:pStyle w:val="Heading2"/>
      </w:pPr>
      <w:r>
        <w:t>Slide 12 – A tessitura: os fios que sustentam a tese  (0:27; acumulado 8:32)</w:t>
      </w:r>
    </w:p>
    <w:p>
      <w:r>
        <w:t>Este slide mostra onde cada frente teórica sustenta os capítulos: política como processo, decisão na ponta, território e lugar, com Santos e Massey, cultura e tempo, condições de trabalho e posição de método. Zuboff e Morozov entram como contexto, e não como objeto empírico.</w:t>
      </w:r>
    </w:p>
    <w:p>
      <w:pPr>
        <w:pStyle w:val="Heading2"/>
      </w:pPr>
      <w:r>
        <w:t>Slide 13 – Onde os referenciais deixam de cobrir o caso  (0:22; acumulado 8:54)</w:t>
      </w:r>
    </w:p>
    <w:p>
      <w:r>
        <w:t>Em resumo: o Ciclo de Políticas supõe que os meios existam; Lipsky pensou em serviços de atendimento em massa. Em Pipa, não há dispositivos para racionar, e a decisão acontece diante de famílias conhecidas.</w:t>
      </w:r>
    </w:p>
    <w:p>
      <w:pPr>
        <w:pStyle w:val="Heading2"/>
      </w:pPr>
      <w:r>
        <w:t>Slide 14 – A revisão sistemática: questão e resposta  (0:58; acumulado 9:52)</w:t>
      </w:r>
    </w:p>
    <w:p>
      <w:r>
        <w:t>A revisão seguiu a PRISMA 2020 em sete bases e chegou a nove estudos. A atuação dessas políticas depende da articulação entre recursos, condições institucionais e trabalho dos profissionais. A evidência é forte sobre as condições e os profissionais, e frágil sobre cultura digital e cidadania. Nenhum estudo trata da PNED nem de rede municipal de pequeno porte, e nenhum acompanha o que os profissionais fazem quando a formação não chega. Esses vazios são esperados, porque a norma é recente e a implementação curricular só se tornou obrigatória em 2026, mas são eles que dão lugar ao objeto desta tese.</w:t>
      </w:r>
    </w:p>
    <w:p>
      <w:pPr>
        <w:pStyle w:val="Heading2"/>
      </w:pPr>
      <w:r>
        <w:t>Slide 15 – Desenho: estudo de caso único, qualitativo  (0:37; acumulado 10:29)</w:t>
      </w:r>
    </w:p>
    <w:p>
      <w:r>
        <w:t>É um estudo de caso único e qualitativo, com análise temática reflexiva. O registro iconográfico, com 38 figuras, já foi feito; os documentos, o questionário e as entrevistas vêm depois da emenda aprovada pelo Comitê de Ética. Serão doze participantes: seis professoras em regência, quatro da coordenação, uma pessoa da direção e uma da Secretaria, posições postas em relação, sem hierarquia prévia.</w:t>
      </w:r>
    </w:p>
    <w:p>
      <w:pPr>
        <w:pStyle w:val="Heading2"/>
      </w:pPr>
      <w:r>
        <w:t>Slide 16 – Como a categoria pode falhar  (0:41; acumulado 11:10)</w:t>
      </w:r>
    </w:p>
    <w:p>
      <w:r>
        <w:t>Os critérios foram registrados antes do campo. A categoria se confirma com recorrência e sem indução; fica delimitada se aparecer só na regência; muda de nome se não houver alternativa, porque aí é transferência de custo; e é recusada se houver fila pelo kit multimídia, leitura da lei apenas como ambígua ou ausência de meios próprios. Recusar também é resultado. No Capítulo 7, direi qual dessas situações se verificou.</w:t>
      </w:r>
    </w:p>
    <w:p>
      <w:pPr>
        <w:pStyle w:val="Heading2"/>
      </w:pPr>
      <w:r>
        <w:t>Slide 17 – A agenda internacional: das presenças às condições  (0:49; acumulado 11:59)</w:t>
      </w:r>
    </w:p>
    <w:p>
      <w:r>
        <w:t>No Capítulo 5, começo pelos organismos internacionais. A UNESCO lembra que uma em cada quatro escolas primárias do mundo não tem eletricidade; a OCDE considera misto o impacto dos computadores sobre o desempenho; o Banco Mundial pergunta qual é o problema educacional antes da tecnologia. Os três tiram o foco da presença dos recursos e o colocam nas condições de uso. Esses documentos não chegam ao Brasil como aplicação automática; entre o que formulam e o que cada país incorpora há disputa e reinterpretação.</w:t>
      </w:r>
    </w:p>
    <w:p>
      <w:pPr>
        <w:pStyle w:val="Heading2"/>
      </w:pPr>
      <w:r>
        <w:t>Slide 18 – Mapa das políticas de educação digital  (0:16; acumulado 12:15)</w:t>
      </w:r>
    </w:p>
    <w:p>
      <w:r>
        <w:t>Li dezenove experiências na Europa e nas Américas, sem buscar modelos para importar. A cor indica a categoria que cada experiência mais informa.</w:t>
      </w:r>
    </w:p>
    <w:p>
      <w:pPr>
        <w:pStyle w:val="Heading2"/>
      </w:pPr>
      <w:r>
        <w:t>Slide 19 – O que essas experiências trazem para a tese  (0:39; acumulado 12:54)</w:t>
      </w:r>
    </w:p>
    <w:p>
      <w:r>
        <w:t>Delas saem cinco categorias sensibilizadoras: governança, formação, infraestrutura, continuidade institucional e cultura digital. Equalizar equipamentos não equalizou usos; laptops não resolveram a conexão rural; a continuidade separou o Ceibal das reversões argentinas. Cada categoria vira uma pergunta para o campo em Pipa. Que formação chegou à escola? Com que equipamentos se trabalha? Que continuidade a rede teve? Nenhuma dessas lições descreve Pipa; elas servem de lente.</w:t>
      </w:r>
    </w:p>
    <w:p>
      <w:pPr>
        <w:pStyle w:val="Heading2"/>
      </w:pPr>
      <w:r>
        <w:t>Slide 20 – Quatro décadas até a PNED  (0:32; acumulado 13:26)</w:t>
      </w:r>
    </w:p>
    <w:p>
      <w:r>
        <w:t>No Brasil, do EDUCOM à PNED, as ênfases mudaram, mas as tensões se repetem: manutenção, suporte, reposição, conectividade desigual e cultura digital sem componente próprio. Cada programa deixou equipamentos nas escolas. Parte deles continua lá depois do fim das ações, o que liga essa trajetória à noção de rugosidade que discuto no Capítulo 6.</w:t>
      </w:r>
    </w:p>
    <w:p>
      <w:pPr>
        <w:pStyle w:val="Heading2"/>
      </w:pPr>
      <w:r>
        <w:t>Slide 21 – Por que a PNED importa  (0:27; acumulado 13:53)</w:t>
      </w:r>
    </w:p>
    <w:p>
      <w:r>
        <w:t>A lei tem méritos: deu à educação digital estatuto de política nacional, tornou-a componente curricular e dever do Estado e ligou-a aos direitos das crianças. Uma de suas melhores passagens pede que a tecnologia fortaleça o papel de quem ensina e de quem aprende.</w:t>
      </w:r>
    </w:p>
    <w:p>
      <w:pPr>
        <w:pStyle w:val="Heading2"/>
      </w:pPr>
      <w:r>
        <w:t>Slide 22 – A PNED e o calendário da exigência  (0:19; acumulado 14:12)</w:t>
      </w:r>
    </w:p>
    <w:p>
      <w:r>
        <w:t>O calendário mostra a pressa da exigência: veto em janeiro de 2023, derrubada em dezembro, resolução do CNE em 2025 e implementação obrigatória em 2026, justamente quando a pesquisa acontece.</w:t>
      </w:r>
    </w:p>
    <w:p>
      <w:pPr>
        <w:pStyle w:val="Heading2"/>
      </w:pPr>
      <w:r>
        <w:t>Slide 23 – A promessa e o desenho  (0:53; acumulado 15:05)</w:t>
      </w:r>
    </w:p>
    <w:p>
      <w:r>
        <w:t>Este é o achado central do capítulo. A PNED é instância de articulação; a inclusão digital depende dos limites orçamentários de cada órgão; não há fundo próprio nem transferência obrigatória aos municípios; e a formação aparece como promoção, sem responsáveis nem custeio. Chamo isso de vazio material: a exigência tem data marcada, e os meios não. Numa rede pequena, a falta não para na Secretaria; chega à sala de aula, onde a professora continua responsável pelo componente, com ou sem os meios. É aí que o financiamento se liga à discricionariedade substitutiva.</w:t>
      </w:r>
    </w:p>
    <w:p>
      <w:pPr>
        <w:pStyle w:val="Heading2"/>
      </w:pPr>
      <w:r>
        <w:t>Slide 24 – A antiga Pipa: trabalho, moradia e mar  (0:31; acumulado 15:36)</w:t>
      </w:r>
    </w:p>
    <w:p>
      <w:r>
        <w:t>No Capítulo 6, as imagens do Museu Digital de Pipa mostram um território em que trabalho, moradia e mar estavam próximos. Com Santos e Massey, leio essas formas sem nostalgia. O barco construído junto às casas, as embarcações na maré baixa e o mutirão do curral mostram saberes aprendidos no próprio fazer.</w:t>
      </w:r>
    </w:p>
    <w:p>
      <w:pPr>
        <w:pStyle w:val="Heading2"/>
      </w:pPr>
      <w:r>
        <w:t>Slide 25 – A Pipa de hoje: um território conectado  (0:50; acumulado 16:26)</w:t>
      </w:r>
    </w:p>
    <w:p>
      <w:r>
        <w:t>A Pipa de hoje é atravessada pelos circuitos do turismo, de reservas a pagamentos, distribuídos de modo desigual. Incluí nesta revisão uma fotografia atual: um pescador descarregando o pescado, com lanchas e escunas ao fundo. A pesca não foi substituída pelo turismo; divide com ele o mesmo mar, e o barco de madeira recebeu motor de popa. A foto prova presença, e não escala, mas mostra que as crianças da escola vêm de famílias com relações muito diferentes com o mar, o trabalho e as tecnologias.</w:t>
      </w:r>
    </w:p>
    <w:p>
      <w:pPr>
        <w:pStyle w:val="Heading2"/>
      </w:pPr>
      <w:r>
        <w:t>Slide 26 – Na escola: o que existe e onde está  (0:46; acumulado 17:12)</w:t>
      </w:r>
    </w:p>
    <w:p>
      <w:r>
        <w:t>Na escola, o laboratório tinha os computadores desligados; segundo informações preliminares, há duas conexões e um único kit multimídia; nas salas de 1º e 2º anos, nenhum dispositivo, só recursos impressos e feitos à mão. Tudo isso será verificado na análise documental. Chamo de rugosidade tecnológica essa permanência de equipamentos de uma iniciativa anterior, aos quais a PNED atribui nova função, e a pergunta é se o laboratório perdeu sua função ou se ela nunca chegou a se constituir.</w:t>
      </w:r>
    </w:p>
    <w:p>
      <w:pPr>
        <w:pStyle w:val="Heading2"/>
      </w:pPr>
      <w:r>
        <w:t>Slide 27 – Onde estamos e o que falta  (0:22; acumulado 17:34)</w:t>
      </w:r>
    </w:p>
    <w:p>
      <w:r>
        <w:t>Os Capítulos 2, 4 e 5 estão construídos, o 6 em boa parte, e o 3 em construção. Faltam a emenda ao Comitê de Ética, a análise documental e o campo, planejado para dez semanas.</w:t>
      </w:r>
    </w:p>
    <w:p>
      <w:pPr>
        <w:pStyle w:val="Heading2"/>
      </w:pPr>
      <w:r>
        <w:t>Slide 28 – O que submeto à banca  (0:29; acumulado 18:03)</w:t>
      </w:r>
    </w:p>
    <w:p>
      <w:r>
        <w:t>Trago quatro questões: se a confirmação precisa de um limiar numérico; se o custo sob visibilidade direta se sustenta só com narrativas; se descrever direção e Secretaria, com um participante cada, basta para a delimitação; e se os critérios sobre a formação como condição ausente estão adequados.</w:t>
      </w:r>
    </w:p>
    <w:p>
      <w:pPr>
        <w:pStyle w:val="Heading2"/>
      </w:pPr>
      <w:r>
        <w:t>Slide 29 – A questão aberta / Agradecimento  (0:25; acumulado 18:28)</w:t>
      </w:r>
    </w:p>
    <w:p>
      <w:r>
        <w:t>A política fez da educação digital um direito e deixou os meios a cargo de cada ente. Quando o equipamento e a formação não chegam, quem paga esse preço no cotidiano da escola? Muito obrigada. Fico à disposição da banca.</w:t>
      </w:r>
    </w:p>
    <w:p>
      <w:pPr>
        <w:pStyle w:val="Heading2"/>
      </w:pPr>
      <w:r>
        <w:t>Slide 30 – Referências  (—; acumulado —)</w:t>
      </w:r>
    </w:p>
    <w:p>
      <w:r>
        <w:t>Slide de consulta; não apresentar.</w:t>
      </w:r>
    </w:p>
    <w:p>
      <w:pPr>
        <w:pStyle w:val="Heading2"/>
      </w:pPr>
      <w:r>
        <w:t>Perguntas prováveis da banca (para preparar)</w:t>
      </w:r>
    </w:p>
    <w:p>
      <w:pPr>
        <w:pStyle w:val="ListBullet"/>
      </w:pPr>
      <w:r>
        <w:t>Por que um caso único e não comparar escolas?</w:t>
      </w:r>
    </w:p>
    <w:p>
      <w:pPr>
        <w:pStyle w:val="ListBullet"/>
      </w:pPr>
      <w:r>
        <w:t>Como evitar que a proximidade com a rede influencie as respostas?</w:t>
      </w:r>
    </w:p>
    <w:p>
      <w:pPr>
        <w:pStyle w:val="ListBullet"/>
      </w:pPr>
      <w:r>
        <w:t>A discricionariedade substitutiva não seria apenas a precarização do trabalho docente com outro nome?</w:t>
      </w:r>
    </w:p>
    <w:p>
      <w:pPr>
        <w:pStyle w:val="ListBullet"/>
      </w:pPr>
      <w:r>
        <w:t>Por que incluir uma foto atual do pescador num capítulo sobre a escola?</w:t>
      </w:r>
    </w:p>
    <w:p>
      <w:pPr>
        <w:pStyle w:val="ListBullet"/>
      </w:pPr>
      <w:r>
        <w:t>Como os dados quantitativos citados (TIC Educação, PISA) se relacionam com uma pesquisa qualitativa?</w:t>
      </w:r>
    </w:p>
    <w:p>
      <w:pPr>
        <w:pStyle w:val="ListBullet"/>
      </w:pPr>
      <w:r>
        <w:t>O que muda na tese se o campo recusar a categoria?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