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rPr/>
        <w:t xml:space="preserve">3 COMO UMA POLÍTICA SE TORNA PRÁTICA: ATUAÇÃO, CULTURAS PROFISSIONAIS, PODER E O HABITAR O DIGITAL</w:t>
      </w:r>
    </w:p>
    <w:p>
      <w:pPr>
        <w:spacing w:line="360" w:lineRule="auto" w:after="0" w:before="0"/>
        <w:ind w:firstLine="709"/>
        <w:jc w:val="both"/>
      </w:pPr>
      <w:r>
        <w:rPr/>
        <w:t xml:space="preserve">Uma lei que chega a uma escola precisa ser lida, discutida, encaixada em horários já ocupados e traduzida em atividades com crianças de seis a dez anos, e cada um desses movimentos depende de quem o faz e das condições em que o faz. A pergunta que orienta a tese, sobre como os profissionais da Escola Municipal Domitila Castelo da Silva encenam e recontextualizam a Política Nacional de Educação Digital (PNED), pede, por isso, um referencial capaz de acompanhar a política desde o texto que a institui até a sala de aula, sem tratá-la como ordem que se cumpre ou se descumpre. Esse referencial reúne a Abordagem do Ciclo de Políticas (ACP), a teoria da atuação, a discussão sobre culturas profissionais, as noções de performatividade e de fabricação, a leitura foucaultiana das relações de poder e a formulação habitar o digital, que a tese propõe a partir do diálogo com Schlemmer, Backes e Palagi, Di Felice, Santos e Massey. Cada um desses referenciais responde a uma parte da pergunta, e o que os reúne é a recusa de separar a política das pessoas e dos lugares que lhe dão forma.</w:t>
      </w:r>
    </w:p>
    <w:p>
      <w:pPr>
        <w:pStyle w:val="Heading2"/>
      </w:pPr>
      <w:r>
        <w:rPr/>
        <w:t xml:space="preserve">3.1 A POLÍTICA COMO PROCESSO: A ABORDAGEM DO CICLO DE POLÍTICAS</w:t>
      </w:r>
    </w:p>
    <w:p>
      <w:pPr>
        <w:spacing w:line="360" w:lineRule="auto" w:after="0" w:before="0"/>
        <w:ind w:firstLine="709"/>
        <w:jc w:val="both"/>
      </w:pPr>
      <w:r>
        <w:rPr/>
        <w:t xml:space="preserve">A ACP surgiu como alternativa aos modelos que descreviam as políticas educacionais como sequência linear, formulada no centro e executada nas pontas. Bowe, Ball e Gold (1992) propuseram lê-las como processo contínuo, no qual contextos distintos se influenciam sem uma hierarquia fixa entre quem formula e quem executa. Mainardes (2006), ao sistematizar a abordagem para a pesquisa educacional brasileira, distingue o contexto de influência, no qual se disputam as finalidades e os discursos que darão origem à política; o contexto da produção do texto, no qual essas disputas ganham forma em leis, documentos e orientações; e o contexto da prática, no qual os textos são recebidos e reinterpretados. O autor registra ainda os contextos dos resultados e da estratégia política, acrescentados por Ball em formulações posteriores.</w:t>
      </w:r>
    </w:p>
    <w:p>
      <w:pPr>
        <w:spacing w:line="360" w:lineRule="auto" w:after="0" w:before="0"/>
        <w:ind w:firstLine="709"/>
        <w:jc w:val="both"/>
      </w:pPr>
      <w:r>
        <w:rPr/>
        <w:t xml:space="preserve">O contexto da prática ocupa posição privilegiada nesta tese, e é nele que a ACP faz sua afirmação mais conhecida: “a política não é simplesmente recebida e implementada nesta arena, ao contrário, ela está sujeita à interpretação e então é ‘recriada’” (BOWE; BALL; GOLD, 1992, p. 22, tradução nossa). A recriação é obra de quem trabalha na escola, e os autores lembram que esses profissionais “não se deparam com os textos das políticas como leitores ingênuos; eles chegam a eles com suas próprias histórias, experiências, valores e propósitos, e têm interesses próprios implicados no significado da política” (BOWE; BALL; GOLD, 1992, p. 22, tradução nossa). Rizvi e Kemmis, citados pelos mesmos autores, acrescentam que os participantes de um programa no nível da escola o interpretam também “em relação aos meios de que dispõem e às formas de trabalho que preferem” (RIZVI; KEMMIS, 1987, p. 21 apud BOWE; BALL; GOLD, 1992, p. 22, tradução nossa).</w:t>
      </w:r>
    </w:p>
    <w:p>
      <w:pPr>
        <w:spacing w:line="360" w:lineRule="auto" w:after="0" w:before="0"/>
        <w:ind w:firstLine="709"/>
        <w:jc w:val="both"/>
      </w:pPr>
      <w:r>
        <w:rPr/>
        <w:t xml:space="preserve">A referência aos meios de que se dispõe tem um peso particular para esta pesquisa. Desde a sua formulação, a ACP reconhece que as políticas “são intervenções textuais, mas carregam também restrições e possibilidades materiais” (BOWE; BALL; GOLD, 1992, p. 21, tradução nossa). Por essa formulação, a existência ou a falta de equipamentos, de conexão, de tempo de planejamento e de formação entra na análise como parte da própria política, e o que os profissionais fazem com a PNED passa a ser lido em relação ao que a política lhes oferece para fazê-lo.</w:t>
      </w:r>
    </w:p>
    <w:p>
      <w:pPr>
        <w:spacing w:line="360" w:lineRule="auto" w:after="0" w:before="0"/>
        <w:ind w:firstLine="709"/>
        <w:jc w:val="both"/>
      </w:pPr>
      <w:r>
        <w:rPr/>
        <w:t xml:space="preserve">Ball (2011) acrescenta duas advertências que orientam a leitura do caso. A primeira diz respeito ao tempo: a abordagem da trajetória “capta as formas pelas quais as políticas evoluem, se modificam e decaem ao longo do tempo e do espaço, assim como as suas incoerências” (BALL, 2011, p. 38), e a PNED é acompanhada aqui no momento em que começa a chegar às escolas. A segunda diz respeito ao lugar onde se procura o problema. O autor critica as pesquisas presas a “táticas de formuladores de políticas não reflexivas, ‘baseadas na culpabilização’, nas quais as políticas são sempre soluções e nunca parte do problema. O problema está ‘na’ escola ou ‘no’ professor, mas ‘nunca nas políticas’” (BALL, 2011, p. 36). Para ele, as políticas “criam circunstâncias nas quais o espectro de opções disponíveis sobre o que fazer é reduzido ou modificado”, e “uma resposta ainda precisa ser construída no contexto” (BALL, 2011, p. 45-46). Na tese, os contextos de influência e de produção do texto são examinados no Capítulo 5, e o contexto da prática, nos Capítulos 6 e 7.</w:t>
      </w:r>
    </w:p>
    <w:p>
      <w:pPr>
        <w:pStyle w:val="Heading2"/>
      </w:pPr>
      <w:r>
        <w:rPr/>
        <w:t xml:space="preserve">3.2 DA IMPLEMENTAÇÃO À ENCENAÇÃO: A TEORIA DA ATUAÇÃO</w:t>
      </w:r>
    </w:p>
    <w:p>
      <w:pPr>
        <w:spacing w:line="360" w:lineRule="auto" w:after="0" w:before="0"/>
        <w:ind w:firstLine="709"/>
        <w:jc w:val="both"/>
      </w:pPr>
      <w:r>
        <w:rPr/>
        <w:t xml:space="preserve">A teoria da atuação, desenvolvida por Ball, Maguire e Braun (2016) a partir de um estudo em escolas secundárias inglesas, leva a ACP para dentro da escola e pergunta como as instituições colocam as políticas em ação. Os autores chamam esse processo de </w:t>
      </w:r>
      <w:r>
        <w:rPr>
          <w:i/>
        </w:rPr>
        <w:t xml:space="preserve">enactment</w:t>
      </w:r>
      <w:r>
        <w:rPr/>
        <w:t xml:space="preserve">, termo vertido como atuação na edição brasileira, e insistem na complexidade dos dois movimentos que ele envolve: “a política é complexamente codificada em textos e artefatos e é decodificada (e recodificada) de forma igualmente complexa” (BALL; MAGUIRE; BRAUN, 2016, p. 14). Nesta tese, empregamos encenação para nomear o fenômeno investigado e mantemos atuação quando nos referimos diretamente aos autores. Encenar uma política é interpretá-la, isto é, ler o que o texto pede e produzir sentidos sobre ele, e traduzi-la, isto é, transformar essa leitura em planejamentos, rotinas, registros e atividades possíveis naquela escola, com aquelas pessoas e aqueles recursos. O termo implementação aparece quando citamos a legislação e os estudos que o adotam.</w:t>
      </w:r>
    </w:p>
    <w:p>
      <w:pPr>
        <w:spacing w:line="360" w:lineRule="auto" w:after="0" w:before="0"/>
        <w:ind w:firstLine="709"/>
        <w:jc w:val="both"/>
      </w:pPr>
      <w:r>
        <w:rPr/>
        <w:t xml:space="preserve">O que os autores encontraram nas escolas inglesas ajuda a compreender por que a palavra implementação diz pouco. Para eles, as atuações “são coletivas, criativas e limitadas e são feitas de malabarismo instável entre as prioridades inconciliáveis, cargas de trabalho impossíveis, movimentos satisficing e entusiasmos pessoais” (BALL; MAGUIRE; BRAUN, 2016, p. 103). As políticas, por sua vez, “raramente ditam ou determinam a prática, mas algumas mais do que outras estreitam a gama de respostas criativas” (BALL; MAGUIRE; BRAUN, 2016, p. 14). A margem que resta entre o que a política pede e o que a escola faz é o terreno da análise.</w:t>
      </w:r>
    </w:p>
    <w:p>
      <w:pPr>
        <w:spacing w:line="360" w:lineRule="auto" w:after="0" w:before="0"/>
        <w:ind w:firstLine="709"/>
        <w:jc w:val="both"/>
      </w:pPr>
      <w:r>
        <w:rPr/>
        <w:t xml:space="preserve">Para examinar essa margem, os autores propõem quatro dimensões do contexto (BALL; MAGUIRE; BRAUN, 2016, p. 38). A dimensão situacional reúne a localidade, a história da escola e a composição de seu público; a das culturas profissionais, os valores, compromissos e experiências dos profissionais; a material, os funcionários, o orçamento, os edifícios, a tecnologia e a infraestrutura; e a externa, as pressões e os apoios vindos de fora. O contexto, nessa perspectiva, “é uma força ‘ativa’, não é apenas um pano de fundo com os quais as escolas têm de operar” (BALL; MAGUIRE; BRAUN, 2016, p. 42), e o contexto material “refere-se aos aspectos ‘físicos’ de uma escola: edifícios e orçamentos, mas também aos funcionários, às tecnologias de informação e à infraestrutura” (BALL; MAGUIRE; BRAUN, 2016, p. 48). Os autores resumem a mesma ideia ao afirmar que as políticas “não são simplesmente ideacionais ou ideológicas, elas também são muito materiais” (BALL; MAGUIRE; BRAUN, 2016, p. 14). Na tese, a dimensão situacional e a material são documentadas no Capítulo 6, e as demais chegam à análise pelas narrativas do Capítulo 7.</w:t>
      </w:r>
    </w:p>
    <w:p>
      <w:pPr>
        <w:spacing w:line="360" w:lineRule="auto" w:after="0" w:before="0"/>
        <w:ind w:firstLine="709"/>
        <w:jc w:val="both"/>
      </w:pPr>
      <w:r>
        <w:rPr/>
        <w:t xml:space="preserve">Os autores observam também que “os atores nas escolas são posicionados de forma diferente e assumem posições diversas em relação à política” (BALL; MAGUIRE; BRAUN, 2016, p. 74-75), e é por isso que a pesquisa ouve a regência, o apoio à recomposição de aula, o apoio pedagógico, a coordenação, a direção e um técnico da Secretaria Municipal de Educação. A teoria pede, porém, uma leitura cuidadosa num caso como o de Pipa. Nas escolas estudadas, as atuações se sustentavam em “uma grande dose de compromisso cru (de alguns diferentes tipos e graus, para estudantes e para as escolas) e muito boa vontade” (BALL; MAGUIRE; BRAUN, 2016, p. 102), e esse esforço completava meios que existiam em quantidades e formatos desiguais. Numa escola em que parte das condições anunciadas pela PNED pode simplesmente não chegar, interessa saber o que esse compromisso precisa fazer quando começa pela falta, questão que a tese leva ao campo sem antecipar a resposta.</w:t>
      </w:r>
    </w:p>
    <w:p>
      <w:pPr>
        <w:pStyle w:val="Heading2"/>
      </w:pPr>
      <w:r>
        <w:rPr/>
        <w:t xml:space="preserve">3.3 CULTURAS PROFISSIONAIS: O QUE FILTRA A LEITURA DA POLÍTICA</w:t>
      </w:r>
    </w:p>
    <w:p>
      <w:pPr>
        <w:spacing w:line="360" w:lineRule="auto" w:after="0" w:before="0"/>
        <w:ind w:firstLine="709"/>
        <w:jc w:val="both"/>
      </w:pPr>
      <w:r>
        <w:rPr/>
        <w:t xml:space="preserve">A dimensão das culturas profissionais é a que a revisão sistemática do Capítulo 2 encontrou menos examinada na literatura sobre políticas de educação digital nos anos iniciais. Para lê-la, recorremos a Hargreaves, para quem “as culturas do ensino compreendem crenças, valores, hábitos e formas de fazer as coisas assumidas pelas comunidades de professores que têm de enfrentar exigências e limitações semelhantes ao longo de muitos anos” (HARGREAVES, 2005, p. 189, tradução nossa). O autor distingue o conteúdo dessas culturas, feito dos pressupostos, valores, atitudes e crenças compartilhados, de sua forma, que corresponde aos padrões de relação e de interação entre os profissionais, e descreve formas como o individualismo, a colaboração, a colegialidade artificial e a balcanização (HARGREAVES, 2005, p. 189-191).</w:t>
      </w:r>
    </w:p>
    <w:p>
      <w:pPr>
        <w:spacing w:line="360" w:lineRule="auto" w:after="0" w:before="0"/>
        <w:ind w:firstLine="709"/>
        <w:jc w:val="both"/>
      </w:pPr>
      <w:r>
        <w:rPr/>
        <w:t xml:space="preserve">A distinção interessa à pesquisa em dois planos. No conteúdo, aquilo que uma equipe considera um bom trabalho com crianças pequenas, o que costuma acolher e o que costuma deixar de lado filtram o que a PNED pede, e um eixo que reúne pensamento computacional, cultura digital e direitos digitais oferece muitas entradas para essa seleção. Na forma, o modo como os profissionais se relacionam decide se uma orientação nova será discutida entre colegas, assumida por quem tem mais afinidade com a tecnologia ou deixada a cada professora em sua turma. Numa escola pequena de Pipa, onde muitos profissionais conhecem as famílias e reencontram as crianças fora da escola, essas culturas se formam também nesse convívio, e a análise examinará como ele participa das escolhas relatadas.</w:t>
      </w:r>
    </w:p>
    <w:p>
      <w:pPr>
        <w:pStyle w:val="Heading2"/>
      </w:pPr>
      <w:r>
        <w:rPr/>
        <w:t xml:space="preserve">3.4 PERFORMATIVIDADE E FABRICAÇÃO: O QUE PRESSIONA A ATUAÇÃO</w:t>
      </w:r>
    </w:p>
    <w:p>
      <w:pPr>
        <w:spacing w:line="360" w:lineRule="auto" w:after="0" w:before="0"/>
        <w:ind w:firstLine="709"/>
        <w:jc w:val="both"/>
      </w:pPr>
      <w:r>
        <w:rPr/>
        <w:t xml:space="preserve">As culturas profissionais filtram a política; a performatividade a pressiona. Ball (2004) descreve com essa noção uma cultura de metas, comparações, indicadores e prestação de contas capaz de orientar o trabalho e a própria identidade dos profissionais da educação. Em outro texto, o autor a define nestes termos: “A performatividade é uma cultura ou um sistema de ‘terror’. É um regime de prestação de contas que emprega julgamentos, comparações e exposições como meios de controle, desgaste e mudança” (BALL, 2008, p. 49, tradução nossa). Ela opera por meio do que o autor chama de tecnologias políticas, que envolvem “o emprego calculado de formas de organização e de procedimentos, e de disciplinas ou corpos de conhecimento, para organizar forças e capacidades humanas em sistemas funcionais” (BALL, 2008, p. 41, tradução nossa).</w:t>
      </w:r>
    </w:p>
    <w:p>
      <w:pPr>
        <w:spacing w:line="360" w:lineRule="auto" w:after="0" w:before="0"/>
        <w:ind w:firstLine="709"/>
        <w:jc w:val="both"/>
      </w:pPr>
      <w:r>
        <w:rPr/>
        <w:t xml:space="preserve">Ligada à performatividade está a noção de fabricação, com a qual Ball (2002) nomeia as versões de uma instituição ou de uma prática produzidas para serem vistas, avaliadas e prestadas como conta. A noção pede cautela e não supõe má-fé de quem as produz, porque as fabricações respondem às exigências sob as quais a escola é observada. No caso da PNED, há no próprio texto da lei instrumentos que podem trazer exigências desse tipo, como a promoção de ferramentas de autodiagnóstico de competências digitais para profissionais e estudantes e o diagnóstico e monitoramento das condições de acesso à internet nas redes (BRASIL, 2023, art. 3º, § 1º). O texto não diz como serão usados. Se a educação digital chegar à escola de Pipa também como registro, evidência e resultado a apresentar, interessa saber o que os profissionais fazem diante disso e se os registros correspondem ao que acontece com as crianças, questão examinada no Capítulo 7 sem que se pressuponha a resposta.</w:t>
      </w:r>
    </w:p>
    <w:p>
      <w:pPr>
        <w:pStyle w:val="Heading2"/>
      </w:pPr>
      <w:r>
        <w:rPr/>
        <w:t xml:space="preserve">3.5 PODER E RESISTÊNCIA</w:t>
      </w:r>
    </w:p>
    <w:p>
      <w:pPr>
        <w:spacing w:line="360" w:lineRule="auto" w:after="0" w:before="0"/>
        <w:ind w:firstLine="709"/>
        <w:jc w:val="both"/>
      </w:pPr>
      <w:r>
        <w:rPr/>
        <w:t xml:space="preserve">A palavra resistências está no título da tese, e Foucault oferece o modo de pensá-la sem transformá-la em virtude nem em desvio. Ball, Maguire e Braun recorrem ao autor para dizer que a política é “‘[...] uma certa economia de discursos da verdade’ (FOUCAULT, 1980, p. 93), que se torna investido na existência do dia-a-dia das escolas, dos corpos de professores e dos alunos” (BALL; MAGUIRE; BRAUN, 2016, p. 21). A política organiza o que conta como verdadeiro, desejável e possível na escola, e é nesse cotidiano que seus efeitos se exercem.</w:t>
      </w:r>
    </w:p>
    <w:p>
      <w:pPr>
        <w:spacing w:line="360" w:lineRule="auto" w:after="0" w:before="0"/>
        <w:ind w:firstLine="709"/>
        <w:jc w:val="both"/>
      </w:pPr>
      <w:r>
        <w:rPr/>
        <w:t xml:space="preserve">Em </w:t>
      </w:r>
      <w:r>
        <w:rPr>
          <w:i/>
        </w:rPr>
        <w:t xml:space="preserve">Vigiar e punir</w:t>
      </w:r>
      <w:r>
        <w:rPr/>
        <w:t xml:space="preserve">, Foucault mostra que as relações de poder “não são unívocas; definem inúmeros pontos de luta, focos de instabilidade comportando cada um seus riscos de conflito, de lutas e de inversão pelo menos transitória da relação de forças” (FOUCAULT, 1999, p. 29). Lida com o autor, a resistência faz parte das relações de poder que a política mobiliza e pode aparecer sem ser pressuposta: onde há normas, exigências e registros, há também pontos em que eles se tornam instáveis. Ela poderá ser reconhecida quando os profissionais recusarem, desviarem, adiarem, limitarem, reordenarem ou ressignificarem uma orientação, desde que os dados sustentem essa leitura. Uma prática distante do que a norma prescreve pode corresponder também a uma acomodação, à falta de condições, à prioridade dada a outra demanda, a uma interpretação diferente do texto, a uma omissão, a uma adaptação ou a uma negociação, e a distinção entre essas possibilidades se faz na análise.</w:t>
      </w:r>
    </w:p>
    <w:p>
      <w:pPr>
        <w:spacing w:line="360" w:lineRule="auto" w:after="0" w:before="0"/>
        <w:ind w:firstLine="709"/>
        <w:jc w:val="both"/>
      </w:pPr>
      <w:r>
        <w:rPr/>
        <w:t xml:space="preserve">Dois contrapesos completam essa leitura. Ball (2011, p. 46) adverte contra os estudos em que os sujeitos “emergem, resistentes e românticos, heróis althusserianos lutando contra a opressão”. Freire lembra que o professor “precisa de condições favoráveis, higiênicas, espaciais, estéticas, sem as quais se move menos eficazmente no espaço pedagógico” e que, “às vezes, as condições são de tal maneira perversas que nem se move” (FREIRE, 2019, p. 64-65). Entre celebrar os profissionais e culpá-los, a análise descreverá o que eles fazem e as condições que tornam necessárias as suas escolhas.</w:t>
      </w:r>
    </w:p>
    <w:p>
      <w:pPr>
        <w:pStyle w:val="Heading2"/>
      </w:pPr>
      <w:r>
        <w:rPr/>
        <w:t xml:space="preserve">3.6 HABITAR O DIGITAL</w:t>
      </w:r>
    </w:p>
    <w:p>
      <w:pPr>
        <w:spacing w:line="360" w:lineRule="auto" w:after="0" w:before="0"/>
        <w:ind w:firstLine="709"/>
        <w:jc w:val="both"/>
      </w:pPr>
      <w:r>
        <w:rPr/>
        <w:t xml:space="preserve">“Habitar o digital” é uma formulação desta tese, construída a partir de contribuições que articulamos ao caso estudado e que começam pela própria noção de habitar. Em </w:t>
      </w:r>
      <w:r>
        <w:rPr>
          <w:i/>
        </w:rPr>
        <w:t xml:space="preserve">O habitar do ensinar e do aprender OnLIFE</w:t>
      </w:r>
      <w:r>
        <w:rPr/>
        <w:t xml:space="preserve">, obra organizada por Schlemmer </w:t>
      </w:r>
      <w:r>
        <w:rPr>
          <w:i/>
        </w:rPr>
        <w:t xml:space="preserve">et al.</w:t>
      </w:r>
      <w:r>
        <w:rPr/>
        <w:t xml:space="preserve"> (2021), o capítulo de abertura lembra que habitar “tem o significado de estar presente” e que o habitar, “além de estar acompanhado do movimento, tem uma natureza relacional” (SCHLEMMER; BACKES; PALAGI, 2021, p. 15). As autoras chamam de Educação OnLIFE “uma educação transubstanciada e cibricidadã, ligada, conectada (On) na vida (LIFE), a partir de problematizações que emergem do tempo presente, nessa realidade hiperconectada” (SCHLEMMER; BACKES; PALAGI, 2021, p. 24), e recorrem a Massimo Di Felice para compreender o habitar “enquanto prática comunicativa” (SCHLEMMER; BACKES; PALAGI, 2021, p. 17).</w:t>
      </w:r>
    </w:p>
    <w:p>
      <w:pPr>
        <w:spacing w:line="360" w:lineRule="auto" w:after="0" w:before="0"/>
        <w:ind w:firstLine="709"/>
        <w:jc w:val="both"/>
      </w:pPr>
      <w:r>
        <w:rPr/>
        <w:t xml:space="preserve">Em </w:t>
      </w:r>
      <w:r>
        <w:rPr>
          <w:i/>
        </w:rPr>
        <w:t xml:space="preserve">Paisagens pós-urbanas</w:t>
      </w:r>
      <w:r>
        <w:rPr/>
        <w:t xml:space="preserve">, Di Felice (2009) mostra como as tecnologias comunicativas transformam a relação entre sujeito, meios e território. Ao tratar da imprensa, afirma que “a invenção da escrita artificial coincide, de fato, com o surgimento de uma espacialidade artificial que marcará sobremaneira a Renascença e inaugurará um novo modo de habitar” (DI FELICE, 2009, p. 102), e, com as redes digitais, descreve um habitar atópico, realizado por meio de interações com interfaces, em ecossistemas informativos nos quais sujeito e território se relacionam em rede (DI FELICE, 2009, p. 20).</w:t>
      </w:r>
    </w:p>
    <w:p>
      <w:pPr>
        <w:spacing w:line="360" w:lineRule="auto" w:after="0" w:before="0"/>
        <w:ind w:firstLine="709"/>
        <w:jc w:val="both"/>
      </w:pPr>
      <w:r>
        <w:rPr/>
        <w:t xml:space="preserve">Desse diálogo, somado às leituras de território, resulta a definição que adotamos. Habitar o digital designa as maneiras pelas quais as tecnologias digitais atravessam os espaços, as relações e as práticas cotidianas de um território, produzindo possibilidades desiguais de acesso, participação e apropriação. Santos (2006, p. 163) observa que, com a difusão do meio técnico-científico-informacional, “distinguem-se zonas servidas pelos meios de conhecimento e áreas desprovidas dessa vantagem”, e em texto anterior nomeia a “dissonância entre os usos econômicos e os usos sociais dos mesmos recursos” (SANTOS, 1999, p. 20-21). Em Pipa, essa dissonância aparece na coexistência de uma elevada densidade tecnológica nos circuitos turísticos do distrito com uma disponibilidade muito mais limitada de tecnologias nos espaços pedagógicos da escola. Massey impede que essa distância seja lida como atraso, ao criticar a operação que “transforma a geografia em história, o espaço em tempo” (MASSEY, 2008, p. 24). Escola e polo turístico são contemporâneos, separados por relações que a análise precisará explicar, e o Capítulo 6 desenvolve essa leitura do território.</w:t>
      </w:r>
    </w:p>
    <w:p>
      <w:pPr>
        <w:spacing w:line="360" w:lineRule="auto" w:after="0" w:before="0"/>
        <w:ind w:firstLine="709"/>
        <w:jc w:val="both"/>
      </w:pPr>
      <w:r>
        <w:rPr/>
        <w:t xml:space="preserve">Habitar o digital é, por isso, mais do que acesso à internet ou posse de equipamentos. Valente já advertia que “implantar computadores nas escolas sem o devido preparo de professores e da comunidade escolar não trará os benefícios que esperamos” (VALENTE, 1999, p. 83), e Buckingham lembra que “as crianças não sabem ‘naturalmente’ como usar computadores: como os adultos, muitas vezes elas experimentam confusão, tédio e frustração” (BUCKINGHAM, 2006, p. 39). Se a familiaridade com os aparelhos não se converte, por si, em compreensão do ambiente digital, essa compreensão precisa ser ensinada, e é essa tarefa que a PNED atribui à escola.</w:t>
      </w:r>
    </w:p>
    <w:p>
      <w:pPr>
        <w:spacing w:line="360" w:lineRule="auto" w:after="0" w:before="0"/>
        <w:ind w:firstLine="709"/>
        <w:jc w:val="both"/>
      </w:pPr>
      <w:r>
        <w:rPr/>
        <w:t xml:space="preserve">As implicações dessa tarefa para as crianças são lidas em três dimensões, em diálogo com o Comentário Geral nº 25 do Comitê dos Direitos da Criança das Nações Unidas (ONU, 2021). A provisão diz respeito às condições para que as crianças tenham acesso significativo à educação digital, como equipamentos, conectividade, tempo e profissionais formados. A proteção envolve a segurança, a privacidade e o enfrentamento dos riscos presentes nos ambientes digitais. A participação refere-se às possibilidades de as crianças acessarem informação, criarem, comunicarem-se e tomarem parte da cultura digital como sujeitos, e começa pelos saberes com que chegam à escola, já que não há respeito aos educandos “se não se levam em consideração as condições em que eles vêm existindo, se não se reconhece a importância dos ‘conhecimentos de experiência feitos’ com que chegam à escola” (FREIRE, 2019, p. 62).</w:t>
      </w:r>
    </w:p>
    <w:p>
      <w:pPr>
        <w:pStyle w:val="Heading3"/>
      </w:pPr>
      <w:r>
        <w:rPr/>
        <w:t xml:space="preserve">3.6.1 Plataformas, dados e solucionismo</w:t>
      </w:r>
    </w:p>
    <w:p>
      <w:pPr>
        <w:spacing w:line="360" w:lineRule="auto" w:after="0" w:before="0"/>
        <w:ind w:firstLine="709"/>
        <w:jc w:val="both"/>
      </w:pPr>
      <w:r>
        <w:rPr/>
        <w:t xml:space="preserve">A dimensão da proteção pede uma leitura do ambiente em que a educação digital acontece. A revisão sistemática do Capítulo 2 mostrou que nenhum dos estudos reunidos trata das plataformas privadas que operam a educação digital nem da extração de dados escolares, e esta subseção situa essas questões como contexto teórico da tese. Elas não se convertem em categorias de análise do campo; entram na pesquisa pelo Eixo 6 do roteiro de entrevistas, que pergunta pelos aplicativos e plataformas usados com as crianças, pelo aparelho empregado e pelo cuidado com seus dados.</w:t>
      </w:r>
    </w:p>
    <w:p>
      <w:pPr>
        <w:spacing w:line="360" w:lineRule="auto" w:after="0" w:before="0"/>
        <w:ind w:firstLine="709"/>
        <w:jc w:val="both"/>
      </w:pPr>
      <w:r>
        <w:rPr/>
        <w:t xml:space="preserve">Zuboff (2021, n. p.) define o capitalismo de vigilância como “uma nova ordem econômica que reivindica a experiência humana como matéria-prima gratuita para práticas comerciais dissimuladas de extração, previsão e vendas”. Ao examinar brinquedos conectados, a autora mostra crianças pequenas transformadas em fonte de “superávit comportamental de menores de idade” e conclui que, nesse ambiente, “as crianças aprenderão que não há fronteiras entre o eu e o mercado” (ZUBOFF, 2021, n. p.). A autora trata de produtos de consumo doméstico, e a aproximação com a escola é nossa, mas ela ilumina o que está em jogo quando aplicativos e plataformas entram no trabalho com crianças de seis a dez anos. Silveira (2017, p. 34) formula a hipótese de que, “para o mercado de dados pessoais crescer”, é preciso “enfrentar e derrotar o seu maior adversário, a ideia de privacidade”, e lembra que “os dados pessoais são a matéria-prima desse processo” (SILVEIRA, 2017, p. 37). No Brasil, a Lei Geral de Proteção de Dados e o Estatuto Digital da Criança e do Adolescente, examinados no Capítulo 5, dão forma jurídica a essa preocupação, e a PNED determina que os direitos digitais sejam tratados nos termos da primeira.</w:t>
      </w:r>
    </w:p>
    <w:p>
      <w:pPr>
        <w:spacing w:line="360" w:lineRule="auto" w:after="0" w:before="0"/>
        <w:ind w:firstLine="709"/>
        <w:jc w:val="both"/>
      </w:pPr>
      <w:r>
        <w:rPr/>
        <w:t xml:space="preserve">Morozov acrescenta outra dimensão ao chamar de solucionismo a ideia de que “os problemas devem ser resolvidos por meio de aplicativos, sensores e ciclos infinitos de retroalimentação - todos fornecidos por startups” (MOROZOV, 2018, p. 88). A crítica ao solucionismo, escreve o autor, mostra que ele “define os problemas sociais de forma muito estrita e quase sempre dentro dos eixos mais rentáveis para os defensores da ‘solução’” (MOROZOV, 2018, p. 64), e a pergunta que ele faz atinge diretamente a escola: “o que acontecerá se a saúde, a educação e a pobreza forem assumidas como problemas supostamente solucionáveis por meio da informação?” (MOROZOV, 2018, p. 110). Para esta tese, a advertência protege a leitura da PNED de duas reduções, a que mede a educação digital pela presença de aparelhos e a que a confia a produtos prontos.</w:t>
      </w:r>
    </w:p>
    <w:p>
      <w:pPr>
        <w:spacing w:line="360" w:lineRule="auto" w:after="0" w:before="0"/>
        <w:ind w:firstLine="709"/>
        <w:jc w:val="both"/>
      </w:pPr>
      <w:r>
        <w:rPr/>
        <w:t xml:space="preserve">Pretto, Cordeiro e Oliveira (2013) oferecem o contraponto do lado da participação. Os autores mostram que corporações atuam também por meio do que denominam de “formação” dos sujeitos consumidores, “penetrando direta e explicitamente nos sistemas educacionais e nas escolas” (PRETTO; CORDEIRO; OLIVEIRA, 2013, p. 26), e defendem processos educacionais que superem “a ideia de uma escola que forma apenas consumidores de produtos ou informações” (PRETTO; CORDEIRO; OLIVEIRA, 2013, p. 36), já que, na cultura digital, os sujeitos podem ser “produtores ativos de cultura” (PRETTO; CORDEIRO; OLIVEIRA, 2013, p. 35). A participação, nas três dimensões adotadas pela tese, ganha com eles um sentido preciso: a escola pode ensinar as crianças a produzir e a se expressar no ambiente digital, além de usar o que encontram pronto. Se e como isso acontece na Escola Municipal Domitila Castelo da Silva é questão do campo.</w:t>
      </w:r>
    </w:p>
    <w:p>
      <w:pPr>
        <w:pStyle w:val="Heading2"/>
      </w:pPr>
      <w:r>
        <w:rPr/>
        <w:t xml:space="preserve">3.7 SÍNTESE: DOS CONCEITOS ÀS LENTES DE ANÁLISE</w:t>
      </w:r>
    </w:p>
    <w:p>
      <w:pPr>
        <w:spacing w:line="360" w:lineRule="auto" w:after="0" w:before="0"/>
        <w:ind w:firstLine="709"/>
        <w:jc w:val="both"/>
      </w:pPr>
      <w:r>
        <w:rPr/>
        <w:t xml:space="preserve">Reunidos, esses referenciais funcionam como lentes de leitura, e cada um faz aos dados uma pergunta própria. A ACP pergunta como a PNED foi lida e recriada na escola e na rede, e orienta os objetivos (a) e (c) por meio dos documentos e do Eixo 2 das entrevistas. A teoria da atuação pergunta que condições situacionais, materiais e externas pesam nas escolhas, e sustenta o objetivo (b) com o registro iconográfico, os documentos, os Blocos 3 e 4 do questionário e o Eixo 3 das entrevistas. As culturas profissionais perguntam o que a equipe valoriza, acolhe ou deixa de lado e como seus membros se relacionam, questão do objetivo (a), presente nos Blocos 1 e 2 do questionário e no Eixo 1.</w:t>
      </w:r>
    </w:p>
    <w:p>
      <w:pPr>
        <w:spacing w:line="360" w:lineRule="auto" w:after="0" w:before="0"/>
        <w:ind w:firstLine="709"/>
        <w:jc w:val="both"/>
      </w:pPr>
      <w:r>
        <w:rPr/>
        <w:t xml:space="preserve">A performatividade e a fabricação perguntam que registros e evidências acompanham a educação digital, a quem servem e se correspondem ao que acontece com as crianças, e entram no objetivo (c) pela matriz documental, pelo Bloco 4 do questionário e pelo Eixo 4. A leitura foucaultiana do poder pergunta onde e por que uma orientação é recusada, desviada, adiada ou ressignificada, o que se examina no Eixo 5. Habitar o digital pergunta que acesso, uso e participação são possíveis para as crianças no território e na escola, questão dos objetivos (b) e (d), presente no registro iconográfico, no Bloco 5 do questionário e no Eixo 6, onde também aparecem as plataformas e os dados das crianças. Essas lentes orientam o olhar sem antecipar o que será encontrado e poderão ser ajustadas quando o material pedir. O Capítulo 4 mostra como elas se convertem em procedimentos de produção e de análise dos dados.</w:t>
      </w:r>
    </w:p>
    <w:p>
      <w:pPr>
        <w:pStyle w:val="Heading1"/>
        <w:pageBreakBefore w:val="0"/>
      </w:pPr>
      <w:r>
        <w:rPr/>
        <w:t xml:space="preserve">REFERÊNCIAS</w:t>
      </w:r>
    </w:p>
    <w:p>
      <w:pPr>
        <w:spacing w:line="240" w:lineRule="auto" w:after="240" w:before="0"/>
        <w:ind w:firstLine="0"/>
        <w:jc w:val="left"/>
      </w:pPr>
      <w:r>
        <w:rPr>
          <w:b w:val="0"/>
          <w:i w:val="0"/>
        </w:rPr>
        <w:t xml:space="preserve">BALL, Stephen J. Reformar escolas/reformar professores e os terrores da performatividade. </w:t>
      </w:r>
      <w:r>
        <w:rPr>
          <w:b/>
          <w:i w:val="0"/>
        </w:rPr>
        <w:t xml:space="preserve">Revista Portuguesa de Educação</w:t>
      </w:r>
      <w:r>
        <w:rPr>
          <w:b w:val="0"/>
          <w:i w:val="0"/>
        </w:rPr>
        <w:t xml:space="preserve">, Braga, v. 15, n. 2, p. 3-23, 2002.</w:t>
      </w:r>
    </w:p>
    <w:p>
      <w:pPr>
        <w:spacing w:line="240" w:lineRule="auto" w:after="240" w:before="0"/>
        <w:ind w:firstLine="0"/>
        <w:jc w:val="left"/>
      </w:pPr>
      <w:r>
        <w:rPr>
          <w:b w:val="0"/>
          <w:i w:val="0"/>
        </w:rPr>
        <w:t xml:space="preserve">BALL, Stephen J. Performatividade, privatização e o pós-Estado do bem-estar. </w:t>
      </w:r>
      <w:r>
        <w:rPr>
          <w:b/>
          <w:i w:val="0"/>
        </w:rPr>
        <w:t xml:space="preserve">Educação &amp; Sociedade</w:t>
      </w:r>
      <w:r>
        <w:rPr>
          <w:b w:val="0"/>
          <w:i w:val="0"/>
        </w:rPr>
        <w:t xml:space="preserve">, Campinas, v. 25, n. 89, p. 1105-1126, 2004.</w:t>
      </w:r>
    </w:p>
    <w:p>
      <w:pPr>
        <w:spacing w:line="240" w:lineRule="auto" w:after="240" w:before="0"/>
        <w:ind w:firstLine="0"/>
        <w:jc w:val="left"/>
      </w:pPr>
      <w:r>
        <w:rPr>
          <w:b w:val="0"/>
          <w:i w:val="0"/>
        </w:rPr>
        <w:t xml:space="preserve">BALL, Stephen J. </w:t>
      </w:r>
      <w:r>
        <w:rPr>
          <w:b/>
          <w:i w:val="0"/>
        </w:rPr>
        <w:t xml:space="preserve">The education debate</w:t>
      </w:r>
      <w:r>
        <w:rPr>
          <w:b w:val="0"/>
          <w:i w:val="0"/>
        </w:rPr>
        <w:t xml:space="preserve">. Bristol: The Policy Press, 2008.</w:t>
      </w:r>
    </w:p>
    <w:p>
      <w:pPr>
        <w:spacing w:line="240" w:lineRule="auto" w:after="240" w:before="0"/>
        <w:ind w:firstLine="0"/>
        <w:jc w:val="left"/>
      </w:pPr>
      <w:r>
        <w:rPr>
          <w:b w:val="0"/>
          <w:i w:val="0"/>
        </w:rPr>
        <w:t xml:space="preserve">BALL, Stephen J. Sociologia das políticas educacionais e pesquisa crítico-social: uma revisão pessoal das políticas educacionais e da pesquisa em política educacional. In: BALL, Stephen J.; MAINARDES, Jefferson (org.). </w:t>
      </w:r>
      <w:r>
        <w:rPr>
          <w:b/>
          <w:i w:val="0"/>
        </w:rPr>
        <w:t xml:space="preserve">Políticas educacionais</w:t>
      </w:r>
      <w:r>
        <w:rPr>
          <w:b w:val="0"/>
          <w:i w:val="0"/>
        </w:rPr>
        <w:t xml:space="preserve">: questões e dilemas. São Paulo: Cortez, 2011. p. 21-53.</w:t>
      </w:r>
    </w:p>
    <w:p>
      <w:pPr>
        <w:spacing w:line="240" w:lineRule="auto" w:after="240" w:before="0"/>
        <w:ind w:firstLine="0"/>
        <w:jc w:val="left"/>
      </w:pPr>
      <w:r>
        <w:rPr>
          <w:b w:val="0"/>
          <w:i w:val="0"/>
        </w:rPr>
        <w:t xml:space="preserve">BALL, Stephen J.; MAGUIRE, Meg; BRAUN, Annette. </w:t>
      </w:r>
      <w:r>
        <w:rPr>
          <w:b/>
          <w:i w:val="0"/>
        </w:rPr>
        <w:t xml:space="preserve">Como as escolas fazem as políticas</w:t>
      </w:r>
      <w:r>
        <w:rPr>
          <w:b w:val="0"/>
          <w:i w:val="0"/>
        </w:rPr>
        <w:t xml:space="preserve">: atuação em escolas secundárias. Tradução de Janete Bridon. Ponta Grossa: Editora UEPG, 2016.</w:t>
      </w:r>
    </w:p>
    <w:p>
      <w:pPr>
        <w:spacing w:line="240" w:lineRule="auto" w:after="240" w:before="0"/>
        <w:ind w:firstLine="0"/>
        <w:jc w:val="left"/>
      </w:pPr>
      <w:r>
        <w:rPr>
          <w:b w:val="0"/>
          <w:i w:val="0"/>
        </w:rPr>
        <w:t xml:space="preserve">BOWE, Richard; BALL, Stephen J.; GOLD, Anne. </w:t>
      </w:r>
      <w:r>
        <w:rPr>
          <w:b/>
          <w:i w:val="0"/>
        </w:rPr>
        <w:t xml:space="preserve">Reforming education and changing schools</w:t>
      </w:r>
      <w:r>
        <w:rPr>
          <w:b w:val="0"/>
          <w:i w:val="0"/>
        </w:rPr>
        <w:t xml:space="preserve">: case studies in policy sociology. London: Routledge, 1992.</w:t>
      </w:r>
    </w:p>
    <w:p>
      <w:pPr>
        <w:spacing w:line="240" w:lineRule="auto" w:after="240" w:before="0"/>
        <w:ind w:firstLine="0"/>
        <w:jc w:val="left"/>
      </w:pPr>
      <w:r>
        <w:rPr>
          <w:b w:val="0"/>
          <w:i w:val="0"/>
        </w:rPr>
        <w:t xml:space="preserve">BRASIL. Lei nº 14.533, de 11 de janeiro de 2023. Institui a Política Nacional de Educação Digital. Brasília, DF: Presidência da República, 2023.</w:t>
      </w:r>
    </w:p>
    <w:p>
      <w:pPr>
        <w:spacing w:line="240" w:lineRule="auto" w:after="240" w:before="0"/>
        <w:ind w:firstLine="0"/>
        <w:jc w:val="left"/>
      </w:pPr>
      <w:r>
        <w:rPr>
          <w:b w:val="0"/>
          <w:i w:val="0"/>
        </w:rPr>
        <w:t xml:space="preserve">BUCKINGHAM, David. </w:t>
      </w:r>
      <w:r>
        <w:rPr>
          <w:b/>
          <w:i w:val="0"/>
        </w:rPr>
        <w:t xml:space="preserve">Crescer na era das mídias</w:t>
      </w:r>
      <w:r>
        <w:rPr>
          <w:b w:val="0"/>
          <w:i w:val="0"/>
        </w:rPr>
        <w:t xml:space="preserve">: após a morte da infância. Tradução de Gilka Girardello e Isabel Orofino. Florianópolis: [s. n.], 2006.</w:t>
      </w:r>
    </w:p>
    <w:p>
      <w:pPr>
        <w:spacing w:line="240" w:lineRule="auto" w:after="240" w:before="0"/>
        <w:ind w:firstLine="0"/>
        <w:jc w:val="left"/>
      </w:pPr>
      <w:r>
        <w:rPr>
          <w:b w:val="0"/>
          <w:i w:val="0"/>
        </w:rPr>
        <w:t xml:space="preserve">DI FELICE, Massimo. </w:t>
      </w:r>
      <w:r>
        <w:rPr>
          <w:b/>
          <w:i w:val="0"/>
        </w:rPr>
        <w:t xml:space="preserve">Paisagens pós-urbanas</w:t>
      </w:r>
      <w:r>
        <w:rPr>
          <w:b w:val="0"/>
          <w:i w:val="0"/>
        </w:rPr>
        <w:t xml:space="preserve">: o fim da experiência urbana e as formas comunicativas do habitar. São Paulo: Annablume, 2009.</w:t>
      </w:r>
    </w:p>
    <w:p>
      <w:pPr>
        <w:spacing w:line="240" w:lineRule="auto" w:after="240" w:before="0"/>
        <w:ind w:firstLine="0"/>
        <w:jc w:val="left"/>
      </w:pPr>
      <w:r>
        <w:rPr>
          <w:b w:val="0"/>
          <w:i w:val="0"/>
        </w:rPr>
        <w:t xml:space="preserve">FOUCAULT, Michel. </w:t>
      </w:r>
      <w:r>
        <w:rPr>
          <w:b/>
          <w:i w:val="0"/>
        </w:rPr>
        <w:t xml:space="preserve">Vigiar e punir</w:t>
      </w:r>
      <w:r>
        <w:rPr>
          <w:b w:val="0"/>
          <w:i w:val="0"/>
        </w:rPr>
        <w:t xml:space="preserve">: nascimento da prisão. Tradução de Raquel Ramalhete. 20. ed. Petrópolis: Vozes, 1999.</w:t>
      </w:r>
    </w:p>
    <w:p>
      <w:pPr>
        <w:spacing w:line="240" w:lineRule="auto" w:after="240" w:before="0"/>
        <w:ind w:firstLine="0"/>
        <w:jc w:val="left"/>
      </w:pPr>
      <w:r>
        <w:rPr>
          <w:b w:val="0"/>
          <w:i w:val="0"/>
        </w:rPr>
        <w:t xml:space="preserve">FREIRE, Paulo. </w:t>
      </w:r>
      <w:r>
        <w:rPr>
          <w:b/>
          <w:i w:val="0"/>
        </w:rPr>
        <w:t xml:space="preserve">Pedagogia da autonomia</w:t>
      </w:r>
      <w:r>
        <w:rPr>
          <w:b w:val="0"/>
          <w:i w:val="0"/>
        </w:rPr>
        <w:t xml:space="preserve">: saberes necessários à prática educativa. 60. ed. Rio de Janeiro: Paz e Terra, 2019.</w:t>
      </w:r>
    </w:p>
    <w:p>
      <w:pPr>
        <w:spacing w:line="240" w:lineRule="auto" w:after="240" w:before="0"/>
        <w:ind w:firstLine="0"/>
        <w:jc w:val="left"/>
      </w:pPr>
      <w:r>
        <w:rPr>
          <w:b w:val="0"/>
          <w:i w:val="0"/>
        </w:rPr>
        <w:t xml:space="preserve">HARGREAVES, Andy. </w:t>
      </w:r>
      <w:r>
        <w:rPr>
          <w:b/>
          <w:i w:val="0"/>
        </w:rPr>
        <w:t xml:space="preserve">Profesorado, cultura y postmodernidad</w:t>
      </w:r>
      <w:r>
        <w:rPr>
          <w:b w:val="0"/>
          <w:i w:val="0"/>
        </w:rPr>
        <w:t xml:space="preserve">: cambian los tiempos, cambia el profesorado. 5. ed. Madrid: Morata, 2005.</w:t>
      </w:r>
    </w:p>
    <w:p>
      <w:pPr>
        <w:spacing w:line="240" w:lineRule="auto" w:after="240" w:before="0"/>
        <w:ind w:firstLine="0"/>
        <w:jc w:val="left"/>
      </w:pPr>
      <w:r>
        <w:rPr>
          <w:b w:val="0"/>
          <w:i w:val="0"/>
        </w:rPr>
        <w:t xml:space="preserve">MAINARDES, Jefferson. Abordagem do ciclo de políticas: uma contribuição para a análise de políticas educacionais. </w:t>
      </w:r>
      <w:r>
        <w:rPr>
          <w:b/>
          <w:i w:val="0"/>
        </w:rPr>
        <w:t xml:space="preserve">Educação &amp; Sociedade</w:t>
      </w:r>
      <w:r>
        <w:rPr>
          <w:b w:val="0"/>
          <w:i w:val="0"/>
        </w:rPr>
        <w:t xml:space="preserve">, Campinas, v. 27, n. 94, p. 47-69, jan./abr. 2006.</w:t>
      </w:r>
    </w:p>
    <w:p>
      <w:pPr>
        <w:spacing w:line="240" w:lineRule="auto" w:after="240" w:before="0"/>
        <w:ind w:firstLine="0"/>
        <w:jc w:val="left"/>
      </w:pPr>
      <w:r>
        <w:rPr>
          <w:b w:val="0"/>
          <w:i w:val="0"/>
        </w:rPr>
        <w:t xml:space="preserve">MASSEY, Doreen. </w:t>
      </w:r>
      <w:r>
        <w:rPr>
          <w:b/>
          <w:i w:val="0"/>
        </w:rPr>
        <w:t xml:space="preserve">Pelo espaço</w:t>
      </w:r>
      <w:r>
        <w:rPr>
          <w:b w:val="0"/>
          <w:i w:val="0"/>
        </w:rPr>
        <w:t xml:space="preserve">: uma nova política da espacialidade. Tradução de Hilda Pareto Maciel e Rogério Haesbaert. Rio de Janeiro: Bertrand Brasil, 2008.</w:t>
      </w:r>
    </w:p>
    <w:p>
      <w:pPr>
        <w:spacing w:line="240" w:lineRule="auto" w:after="240" w:before="0"/>
        <w:ind w:firstLine="0"/>
        <w:jc w:val="left"/>
      </w:pPr>
      <w:r>
        <w:rPr>
          <w:b w:val="0"/>
          <w:i w:val="0"/>
        </w:rPr>
        <w:t xml:space="preserve">MOROZOV, Evgeny. </w:t>
      </w:r>
      <w:r>
        <w:rPr>
          <w:b/>
          <w:i w:val="0"/>
        </w:rPr>
        <w:t xml:space="preserve">Big Tech</w:t>
      </w:r>
      <w:r>
        <w:rPr>
          <w:b w:val="0"/>
          <w:i w:val="0"/>
        </w:rPr>
        <w:t xml:space="preserve">: a ascensão dos dados e a morte da política. Tradução de Claudio Marcondes. São Paulo: Ubu Editora, 2018.</w:t>
      </w:r>
    </w:p>
    <w:p>
      <w:pPr>
        <w:spacing w:line="240" w:lineRule="auto" w:after="240" w:before="0"/>
        <w:ind w:firstLine="0"/>
        <w:jc w:val="left"/>
      </w:pPr>
      <w:r>
        <w:rPr>
          <w:b w:val="0"/>
          <w:i w:val="0"/>
        </w:rPr>
        <w:t xml:space="preserve">ONU. Comitê dos Direitos da Criança. </w:t>
      </w:r>
      <w:r>
        <w:rPr>
          <w:b/>
          <w:i w:val="0"/>
        </w:rPr>
        <w:t xml:space="preserve">Comentário Geral nº 25 (2021) sobre os direitos das crianças em relação ao ambiente digital</w:t>
      </w:r>
      <w:r>
        <w:rPr>
          <w:b w:val="0"/>
          <w:i w:val="0"/>
        </w:rPr>
        <w:t xml:space="preserve">. Genebra: Organização das Nações Unidas, 2021.</w:t>
      </w:r>
    </w:p>
    <w:p>
      <w:pPr>
        <w:spacing w:line="240" w:lineRule="auto" w:after="240" w:before="0"/>
        <w:ind w:firstLine="0"/>
        <w:jc w:val="left"/>
      </w:pPr>
      <w:r>
        <w:rPr>
          <w:b w:val="0"/>
          <w:i w:val="0"/>
        </w:rPr>
        <w:t xml:space="preserve">PRETTO, Nelson De Luca; CORDEIRO, Salete Noro; OLIVEIRA, Washington dos Santos. Produção cultural e compartilhamento de saberes em rede: entraves e possibilidades para a cultura e a educação. </w:t>
      </w:r>
      <w:r>
        <w:rPr>
          <w:b/>
          <w:i w:val="0"/>
        </w:rPr>
        <w:t xml:space="preserve">Educação em Revista</w:t>
      </w:r>
      <w:r>
        <w:rPr>
          <w:b w:val="0"/>
          <w:i w:val="0"/>
        </w:rPr>
        <w:t xml:space="preserve">, Belo Horizonte, v. 29, n. 3, p. 17-40, set. 2013.</w:t>
      </w:r>
    </w:p>
    <w:p>
      <w:pPr>
        <w:spacing w:line="240" w:lineRule="auto" w:after="240" w:before="0"/>
        <w:ind w:firstLine="0"/>
        <w:jc w:val="left"/>
      </w:pPr>
      <w:r>
        <w:rPr>
          <w:b w:val="0"/>
          <w:i w:val="0"/>
        </w:rPr>
        <w:t xml:space="preserve">SANTOS, Milton. O território e o saber local: algumas categorias de análise. </w:t>
      </w:r>
      <w:r>
        <w:rPr>
          <w:b/>
          <w:i w:val="0"/>
        </w:rPr>
        <w:t xml:space="preserve">Cadernos IPPUR</w:t>
      </w:r>
      <w:r>
        <w:rPr>
          <w:b w:val="0"/>
          <w:i w:val="0"/>
        </w:rPr>
        <w:t xml:space="preserve">, Rio de Janeiro, ano 13, n. 2, p. 15-26, 1999.</w:t>
      </w:r>
    </w:p>
    <w:p>
      <w:pPr>
        <w:spacing w:line="240" w:lineRule="auto" w:after="240" w:before="0"/>
        <w:ind w:firstLine="0"/>
        <w:jc w:val="left"/>
      </w:pPr>
      <w:r>
        <w:rPr>
          <w:b w:val="0"/>
          <w:i w:val="0"/>
        </w:rPr>
        <w:t xml:space="preserve">SANTOS, Milton. </w:t>
      </w:r>
      <w:r>
        <w:rPr>
          <w:b/>
          <w:i w:val="0"/>
        </w:rPr>
        <w:t xml:space="preserve">A natureza do espaço</w:t>
      </w:r>
      <w:r>
        <w:rPr>
          <w:b w:val="0"/>
          <w:i w:val="0"/>
        </w:rPr>
        <w:t xml:space="preserve">: técnica e tempo, razão e emoção. 4. ed. 2. reimpr. São Paulo: Editora da Universidade de São Paulo, 2006.</w:t>
      </w:r>
    </w:p>
    <w:p>
      <w:pPr>
        <w:spacing w:line="240" w:lineRule="auto" w:after="240" w:before="0"/>
        <w:ind w:firstLine="0"/>
        <w:jc w:val="left"/>
      </w:pPr>
      <w:r>
        <w:rPr>
          <w:b w:val="0"/>
          <w:i w:val="0"/>
        </w:rPr>
        <w:t xml:space="preserve">SCHLEMMER, Eliane; BACKES, Luciana; BITTENCOURT, João Ricardo; PALAGI, Ana Maria Marques (org.). </w:t>
      </w:r>
      <w:r>
        <w:rPr>
          <w:b/>
          <w:i w:val="0"/>
        </w:rPr>
        <w:t xml:space="preserve">O habitar do ensinar e do aprender OnLIFE</w:t>
      </w:r>
      <w:r>
        <w:rPr>
          <w:b w:val="0"/>
          <w:i w:val="0"/>
        </w:rPr>
        <w:t xml:space="preserve">: vivências na educação contemporânea. São Leopoldo: Casa Leiria, 2021.</w:t>
      </w:r>
    </w:p>
    <w:p>
      <w:pPr>
        <w:spacing w:line="240" w:lineRule="auto" w:after="240" w:before="0"/>
        <w:ind w:firstLine="0"/>
        <w:jc w:val="left"/>
      </w:pPr>
      <w:r>
        <w:rPr>
          <w:b w:val="0"/>
          <w:i w:val="0"/>
        </w:rPr>
        <w:t xml:space="preserve">SCHLEMMER, Eliane; BACKES, Luciana; PALAGI, Ana Maria Marques. O habitar do ensinar e do aprender OnLIFE: vivências na educação contemporânea. In: SCHLEMMER, Eliane; BACKES, Luciana; BITTENCOURT, João Ricardo; PALAGI, Ana Maria Marques (org.). </w:t>
      </w:r>
      <w:r>
        <w:rPr>
          <w:b/>
          <w:i w:val="0"/>
        </w:rPr>
        <w:t xml:space="preserve">O habitar do ensinar e do aprender OnLIFE</w:t>
      </w:r>
      <w:r>
        <w:rPr>
          <w:b w:val="0"/>
          <w:i w:val="0"/>
        </w:rPr>
        <w:t xml:space="preserve">: vivências na educação contemporânea. São Leopoldo: Casa Leiria, 2021. p. 15-34.</w:t>
      </w:r>
    </w:p>
    <w:p>
      <w:pPr>
        <w:spacing w:line="240" w:lineRule="auto" w:after="240" w:before="0"/>
        <w:ind w:firstLine="0"/>
        <w:jc w:val="left"/>
      </w:pPr>
      <w:r>
        <w:rPr>
          <w:b w:val="0"/>
          <w:i w:val="0"/>
        </w:rPr>
        <w:t xml:space="preserve">SILVEIRA, Sergio Amadeu da. </w:t>
      </w:r>
      <w:r>
        <w:rPr>
          <w:b/>
          <w:i w:val="0"/>
        </w:rPr>
        <w:t xml:space="preserve">Tudo sobre tod@s</w:t>
      </w:r>
      <w:r>
        <w:rPr>
          <w:b w:val="0"/>
          <w:i w:val="0"/>
        </w:rPr>
        <w:t xml:space="preserve">: redes digitais, privacidade e venda de dados pessoais. São Paulo: Edições Sesc São Paulo, 2017.</w:t>
      </w:r>
    </w:p>
    <w:p>
      <w:pPr>
        <w:spacing w:line="240" w:lineRule="auto" w:after="240" w:before="0"/>
        <w:ind w:firstLine="0"/>
        <w:jc w:val="left"/>
      </w:pPr>
      <w:r>
        <w:rPr>
          <w:b w:val="0"/>
          <w:i w:val="0"/>
        </w:rPr>
        <w:t xml:space="preserve">VALENTE, José Armando (org.). </w:t>
      </w:r>
      <w:r>
        <w:rPr>
          <w:b/>
          <w:i w:val="0"/>
        </w:rPr>
        <w:t xml:space="preserve">O computador na sociedade do conhecimento</w:t>
      </w:r>
      <w:r>
        <w:rPr>
          <w:b w:val="0"/>
          <w:i w:val="0"/>
        </w:rPr>
        <w:t xml:space="preserve">. Campinas: Unicamp/NIED, 1999.</w:t>
      </w:r>
    </w:p>
    <w:p>
      <w:pPr>
        <w:spacing w:line="240" w:lineRule="auto" w:after="240" w:before="0"/>
        <w:ind w:firstLine="0"/>
        <w:jc w:val="left"/>
      </w:pPr>
      <w:r>
        <w:rPr>
          <w:b w:val="0"/>
          <w:i w:val="0"/>
        </w:rPr>
        <w:t xml:space="preserve">ZUBOFF, Shoshana. </w:t>
      </w:r>
      <w:r>
        <w:rPr>
          <w:b/>
          <w:i w:val="0"/>
        </w:rPr>
        <w:t xml:space="preserve">A era do capitalismo de vigilância</w:t>
      </w:r>
      <w:r>
        <w:rPr>
          <w:b w:val="0"/>
          <w:i w:val="0"/>
        </w:rPr>
        <w:t xml:space="preserve">: a luta por um futuro humano na nova fronteira do poder. Tradução de George Schlesinger. Rio de Janeiro: Intrínseca, 2021. E-book.</w:t>
      </w:r>
    </w:p>
    <w:sectPr w:rsidR="00FC693F" w:rsidRPr="0006063C" w:rsidSect="00034616">
      <w:headerReference w:type="default" r:id="rId9"/>
      <w:footerReference w:type="default" r:id="rId10"/>
      <w:pgSz w:w="11906" w:h="16838"/>
      <w:pgMar w:top="1701" w:right="1134" w:bottom="1134" w:left="1701" w:header="113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60" w:lineRule="auto"/>
      <w:ind w:firstLine="0"/>
      <w:jc w:val="left"/>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ind w:firstLine="0"/>
      <w:jc w:val="left"/>
      <w:outlineLvl w:val="1"/>
    </w:pPr>
    <w:rPr>
      <w:rFonts w:ascii="Times New Roman" w:hAnsi="Times New Roman" w:eastAsia="Times New Roman" w:cs="Times New Roman"/>
      <w:b w:val="0"/>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