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3075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08:30; fim do slide 18 por volta de 15:40;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05:00</w:t>
            </w:r>
          </w:p>
        </w:tc>
        <w:tc>
          <w:tcPr>
            <w:tcW w:type="dxa" w:w="2408"/>
          </w:tcPr>
          <w:p>
            <w:r>
              <w:t>06:00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08:30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05:20</w:t>
            </w:r>
          </w:p>
        </w:tc>
        <w:tc>
          <w:tcPr>
            <w:tcW w:type="dxa" w:w="2408"/>
          </w:tcPr>
          <w:p>
            <w:r>
              <w:t>13:50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15:40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03:30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Condições de trabalho docente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Oliveira e Vieira (2012) apud Queiroz e Paiva (2014)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Espaço de fluxos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Castells (2013)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Ensinar o digital: crianças, mediação e exclusão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Buckingham (2006); Valente (1999); Castells (2003)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6.5.2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35 s  ·  ao final: 00:35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01:00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02:50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75 s  ·  ao final: 04:05</w:t>
      </w:r>
    </w:p>
    <w:p>
      <w:r>
        <w:rPr>
          <w:i/>
          <w:color w:val="555555"/>
        </w:rPr>
        <w:t>[Cada cartão tem um rótulo: interpretação, condições e território, formas de atuação, crianças. Destacar os verbos: compreender, examinar, identificar, discutir.]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geral, que já contém o percurso do município a Pipa, e quatro específicos voltados à escola: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Objetivo geral: </w:t>
      </w:r>
      <w:r>
        <w:t>Analisar a recontextualização da PNED da SME até o contexto da prática da escola de Pipa, considerando a diversidade socioespacial do município, as culturas profissionais e as condições da rede e da escola. O funil (território, SME, Pipa) está aqui.</w:t>
      </w:r>
    </w:p>
    <w:p>
      <w:pPr>
        <w:pStyle w:val="ListBullet"/>
      </w:pPr>
      <w:r>
        <w:rPr>
          <w:b/>
        </w:rPr>
        <w:t xml:space="preserve">Interpretação (obj. a):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b):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(obj. c): </w:t>
      </w:r>
      <w:r>
        <w:t>Identificar as formas de atuação, da adesão à resistência, sem pressupor qual prevalece.</w:t>
      </w:r>
    </w:p>
    <w:p>
      <w:pPr>
        <w:pStyle w:val="ListBullet"/>
      </w:pPr>
      <w:r>
        <w:rPr>
          <w:b/>
        </w:rPr>
        <w:t xml:space="preserve">Crianças (obj. d): </w:t>
      </w:r>
      <w:r>
        <w:t>Discutir as implicações dessas formas de atuação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Compreender, examinar, identificar, discutir: um verbo por objetivo, sem repetir o "analisar" do geral.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há objetivo específico sobre a Secretaria? (o percurso do município a Pipa está no objetivo geral; a SME entra pelos documentos e pela entrevista com o técnico, como contexto da escola).</w:t>
      </w:r>
    </w:p>
    <w:p>
      <w:pPr>
        <w:pStyle w:val="ListBullet"/>
      </w:pPr>
      <w:r>
        <w:rPr>
          <w:i/>
        </w:rPr>
        <w:t>Por que separar formas de atuação e crianças? (identificar o que os profissionais fazem é diferente de discutir o que isso implica para os direitos das crianças).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08:30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10:05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75 s  ·  ao final: 11:20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leitura: com Hargreaves, são crenças, valores, hábitos e formas de fazer das comunidades de professores. A performatividade pressiona: Ball a descreve como prestação de contas feita de julgamentos, comparações e exposições, sobre um tempo de trabalho já ocupado, como mostram Queiroz e Paiva. As relações de poder tensionam, e aqui entra Foucault, que dá o modo de pensar a resistência do título. Com ele, Ball, Maguire e Braun tratam a política como uma economia de discursos da verdade, que organiza o que conta como verdadeiro, desejável e possível na escola. E, em Vigiar e punir, Foucault mostra que o poder não é unívoco e tem focos de instabilidade. Por isso a resistência pode aparecer sem ser pressuposta, quando os profissionais recusam, desviam, adiam ou ressignificam uma orientação, sem culpar nem heroicizar os sujeitos.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pPr>
        <w:pStyle w:val="ListBullet"/>
      </w:pPr>
      <w:r>
        <w:rPr>
          <w:b/>
        </w:rPr>
        <w:t xml:space="preserve">Contribuição de Foucault: </w:t>
      </w:r>
      <w:r>
        <w:t>Dá o modo de pensar a resistência do título sem torná-la virtude nem desvio. A política como "uma certa economia de discursos da verdade" (FOUCAULT, 1980, p. 93 apud BALL; MAGUIRE; BRAUN, 2016, p. 21), que organiza o que conta como verdadeiro, desejável e possível na escola; relações de poder "não são unívocas" e têm "focos de instabilidade" (FOUCAULT, 1999, p. 29). A resistência pode aparecer quando os profissionais recusam, desviam, adiam, limitam, reordenam ou ressignificam uma orientação, desde que os dados sustentem a leitura; uma prática distante da norma pode ser também acomodação, falta de condições ou omissão (cap. 3, seção 3.5).</w:t>
      </w:r>
    </w:p>
    <w:p>
      <w:pPr>
        <w:pStyle w:val="ListBullet"/>
      </w:pPr>
      <w:r>
        <w:rPr>
          <w:b/>
        </w:rPr>
        <w:t xml:space="preserve">Condições de trabalho: </w:t>
      </w:r>
      <w:r>
        <w:t>Divisão de tarefas, jornada, recursos, tempos e espaços (OLIVEIRA; VIEIRA, 2012, p. 157 apud QUEIROZ; PAIVA, 2014, p. 254); exigências burocráticas que intensificam a jornada (QUEIROZ; PAIVA, 2014, p. 256).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(2019); Queiroz e Paiva (2014).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ato: território e lugar</w:t>
      </w:r>
    </w:p>
    <w:p>
      <w:r>
        <w:rPr>
          <w:color w:val="555555"/>
          <w:sz w:val="20"/>
        </w:rPr>
        <w:t>80 s  ·  ao final: 12:40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ato, e aqui entram Milton Santos e Doreen Massey. Com Santos, a categoria de análise é o território usado, e o espaço é um conjunto de sistemas de objetos e de ações: laboratório, equipamentos e conexão condicionam o que a escola pode fazer. Das rugosidades, o que fica do passado como forma, vem a formulação rugosidade tecnológica; da dissonância entre os usos econômicos e os usos sociais dos mesmos recursos vem a leitura de Pipa, densa em tecnologia no turismo e escassa nas salas. Massey completa essa leitura. Para ela, o espaço é a esfera da multiplicidade, em que distintas trajetórias coexistem, e o lugar é um encontro de trajetórias: em Pipa, elas chegam à escola com as famílias de moradores antigos, de migrantes, de estrangeiros e de pessoas ligadas ao turismo. Massey critica ainda a operação que transforma a geografia em história; por isso, escola e polo turístico são contemporâneos, e a distância entre eles pede explicação, sem ser lida como atraso.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território e o lugar onde a política é posta em ato, e a dissonância de Pipa entre o digital do turismo e o da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 espaço como conjunto indissociável de sistemas de objetos e de ações (SANTOS, 2006, p. 12); "os sistemas de objetos condicionam a forma como se dão as ações" (SANTOS, 2006, p. 39): laboratório, equipamentos e conexão fazem parte da política.</w:t>
      </w:r>
    </w:p>
    <w:p>
      <w:pPr>
        <w:pStyle w:val="ListBullet"/>
      </w:pPr>
      <w:r>
        <w:rPr>
          <w:b/>
        </w:rPr>
        <w:t xml:space="preserve">Espaço como multiplicidade: </w:t>
      </w:r>
      <w:r>
        <w:t>Massey compreende o espaço "como a esfera da possibilidade da existência da multiplicidade, no sentido da pluralidade contemporânea, como a esfera na qual distintas trajetórias coexistem" (MASSEY, 2008, p. 29): Tibau do Sul como conjunto de lugares; Pipa como encontro de trajetórias que chegam à escola com as famílias.</w:t>
      </w:r>
    </w:p>
    <w:p>
      <w:pPr>
        <w:pStyle w:val="ListBullet"/>
      </w:pPr>
      <w:r>
        <w:rPr>
          <w:b/>
        </w:rPr>
        <w:t xml:space="preserve">Contribuição de Massey, em uma frase: </w:t>
      </w:r>
      <w:r>
        <w:t>Massey permite ler Pipa como encontro de trajetórias contemporâneas e impede que a distância entre a escola e o polo turístico seja lida como atraso.</w:t>
      </w:r>
    </w:p>
    <w:p>
      <w:pPr>
        <w:pStyle w:val="ListBullet"/>
      </w:pPr>
      <w:r>
        <w:rPr>
          <w:b/>
        </w:rPr>
        <w:t xml:space="preserve">Contribuição de Santos, em uma frase: </w:t>
      </w:r>
      <w:r>
        <w:t>A PNED é encenada num território concreto, cujos objetos, usos e marcas do passado condicionam o que a escola consegue fazer com a política.</w:t>
      </w:r>
    </w:p>
    <w:p>
      <w:pPr>
        <w:pStyle w:val="ListBullet"/>
      </w:pPr>
      <w:r>
        <w:rPr>
          <w:b/>
        </w:rPr>
        <w:t xml:space="preserve">Dissonância: </w:t>
      </w:r>
      <w:r>
        <w:t>"Dissonância entre os usos econômicos e os usos sociais dos mesmos recursos" (SANTOS, 1999, p. 20-21); "distinguem-se zonas servidas pelos meios de conhecimento e áreas desprovidas dessa vantagem" (SANTOS, 2006, p. 163).</w:t>
      </w:r>
    </w:p>
    <w:p>
      <w:pPr>
        <w:pStyle w:val="ListBullet"/>
      </w:pPr>
      <w:r>
        <w:rPr>
          <w:b/>
        </w:rPr>
        <w:t xml:space="preserve">Espaço de fluxos: </w:t>
      </w:r>
      <w:r>
        <w:t>"Sequências intencionais, repetitivas e programáveis de intercâmbio e interação entre posições fisicamente desarticuladas" (CASTELLS, 2013, p. 437): Pipa ligada a circuitos turísticos que ultrapassam o lugar.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(MASSEY, 2008, p. 24): escola e polo turístico são contemporâneos.</w:t>
      </w:r>
    </w:p>
    <w:p>
      <w:r>
        <w:rPr>
          <w:b/>
        </w:rPr>
        <w:t xml:space="preserve">Autores e obras: </w:t>
      </w:r>
      <w:r>
        <w:t>Santos (1999; 2006); Massey (2008); Castells (2013).</w:t>
      </w:r>
    </w:p>
    <w:p>
      <w:r>
        <w:rPr>
          <w:b/>
        </w:rPr>
        <w:t xml:space="preserve">Onde aprofundar: </w:t>
      </w:r>
      <w:r>
        <w:t>Cap. 1, seção 1.4; cap. 3, seção 3.6; cap. 6, seções 6.2 e 6.5.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Castells, se o território já é lido com Santos? (Santos mostra os tempos acumulados; Castells e Bauman ajudam a ver os fluxos que mudam o lugar, cap. 6).</w:t>
      </w:r>
    </w:p>
    <w:p>
      <w:pPr>
        <w:pStyle w:val="Heading2"/>
      </w:pPr>
      <w:r>
        <w:t>Slide 15 · O digital</w:t>
      </w:r>
    </w:p>
    <w:p>
      <w:r>
        <w:rPr>
          <w:color w:val="555555"/>
          <w:sz w:val="20"/>
        </w:rPr>
        <w:t>70 s  ·  ao final: 13:50</w:t>
      </w:r>
    </w:p>
    <w:p>
      <w:r>
        <w:rPr>
          <w:i/>
          <w:color w:val="555555"/>
        </w:rPr>
        <w:t>[Apontar as três colunas da esquerda para a direita; a faixa amarela não precisa ser lida.]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apropriação. A noção parte de Schlemmer, Backes e Palagi, para quem habitar é estar presente e em relação, e de Massimo Di Felice. Di Felice mostra que cada tecnologia comunicativa inaugura um novo modo de habitar, como a escrita impressa fez na Renascença, e que, com as redes digitais, o habitar se torna atópico: acontece por meio de interfaces, em ecossistemas informativos que ligam sujeito e território. Essa compreensão precisa ser ensinada: Buckingham lembra que as crianças não sabem naturalmente usar computadores, e Valente, que computadores sem preparo dos professores não trazem os benefícios esperados.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5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atravessa a tese e por que ela é necessária: o habitar o digital, a razão de ensiná-lo e o ambiente de plataformas e dados em que ele acontece.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 Habitar "tem o significado de estar presente" e "natureza relacional" (SCHLEMMER; BACKES; PALAGI, 2021, p. 15); Educação OnLIFE (p. 24); habitar atópico (DI FELICE, 2009).</w:t>
      </w:r>
    </w:p>
    <w:p>
      <w:pPr>
        <w:pStyle w:val="ListBullet"/>
      </w:pPr>
      <w:r>
        <w:rPr>
          <w:b/>
        </w:rPr>
        <w:t xml:space="preserve">Contribuição de Di Felice: </w:t>
      </w:r>
      <w:r>
        <w:t>Cada tecnologia comunicativa inaugura um modo de habitar: "a invenção da escrita artificial coincide, de fato, com o surgimento de uma espacialidade artificial que [...] inaugurará um novo modo de habitar" (DI FELICE, 2009, p. 102). Com as redes digitais, o habitar torna-se atópico, realizado por interfaces, em ecossistemas informativos que ligam sujeito e território (DI FELICE, 2009, p. 20, citação indireta, a conferir). Schlemmer, Backes e Palagi recorrem a ele para pensar o habitar "enquanto prática comunicativa" (2021, p. 17). Para a tese: habitar o digital é um modo de estar no território mediado pelas redes, além do uso de um aparelho.</w:t>
      </w:r>
    </w:p>
    <w:p>
      <w:pPr>
        <w:pStyle w:val="ListBullet"/>
      </w:pPr>
      <w:r>
        <w:rPr>
          <w:b/>
        </w:rPr>
        <w:t xml:space="preserve">Por que ensinar o digital: </w:t>
      </w:r>
      <w:r>
        <w:t>"As crianças não sabem 'naturalmente' como usar computadores" (BUCKINGHAM, 2006, p. 39), contra a ideia de nativos digitais; computadores "sem o devido preparo de professores e da comunidade escolar" não trazem os benefícios esperados (VALENTE, 1999, p. 83); ser excluído das redes é "uma das formas mais danosas de exclusão" (CASTELLS, 2003, p. 8). Daí a tarefa que a PNED atribui à escola.</w:t>
      </w:r>
    </w:p>
    <w:p>
      <w:pPr>
        <w:pStyle w:val="ListBullet"/>
      </w:pPr>
      <w:r>
        <w:rPr>
          <w:b/>
        </w:rPr>
        <w:t xml:space="preserve">O ambiente em que acontece: </w:t>
      </w:r>
      <w:r>
        <w:t>Capitalismo de vigilância (ZUBOFF, 2021); dados pessoais e privacidade (SILVEIRA, 2017, p. 34; 37); solucionismo (MOROZOV, 2018, p. 88); crianças como "produtores ativos de cultura" (PRETTO; CORDEIRO; OLIVEIRA, 2013, p. 35). Contexto teórico, sem virar categoria de análise; entra no campo pelo Eixo 6 da entrevista.</w:t>
      </w:r>
    </w:p>
    <w:p>
      <w:r>
        <w:rPr>
          <w:b/>
        </w:rPr>
        <w:t xml:space="preserve">Autores e obras: </w:t>
      </w:r>
      <w:r>
        <w:t>Schlemmer, Backes e Palagi (2021); Di Felice (2009); Buckingham (2006); Valente (1999); Castells (2003);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1, seção 1.1 (Buckingham, Castells); cap. 3, seções 3.6 e 3.6.1; cap. 6, seção 6.5.2 (Valente).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o mesmo que inclusão digital? (não se reduz a acesso e posse; envolve participação e apropriação, cap. 3.6).</w:t>
      </w:r>
    </w:p>
    <w:p>
      <w:pPr>
        <w:pStyle w:val="ListBullet"/>
      </w:pPr>
      <w:r>
        <w:rPr>
          <w:i/>
        </w:rPr>
        <w:t>Se as crianças já usam celular, por que a escola precisa ensinar o digital? (Buckingham: a familiaridade com os aparelhos não é compreensão do ambiente digital).</w:t>
      </w:r>
    </w:p>
    <w:p>
      <w:pPr>
        <w:pStyle w:val="ListBullet"/>
      </w:pPr>
      <w:r>
        <w:rPr>
          <w:i/>
        </w:rPr>
        <w:t>Por que Zuboff e Morozov não viram categorias de análise? (são contexto teórico; entram pelo Eixo 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14:00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55 s  ·  ao final: 16:45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60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 para a leitura do campo: a governança, que pergunta o que chega da União e do estado à rede e o que a Secretaria repassa à escola; a formação, que pergunta que formação chegou e quando; a infraestrutura, que pergunta com que equipamentos se trabalha; a continuidade institucional, que leva à história da rede; e a cultura digital,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(percurso do objetivo geral).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