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Na Introdução, formulamos a questão norteadora da tese: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da Secretaria Municipal de Educação à escola, e fixa, antes do campo, as dimensões e os critérios pelos quais as formas de atuação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 da Silva</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do desenho.</w:t>
      </w:r>
    </w:p>
    <w:p>
      <w:pPr>
        <w:spacing w:line="360" w:lineRule="auto"/>
        <w:ind w:firstLine="709"/>
        <w:jc w:val="both"/>
      </w:pPr>
      <w:r>
        <w:rPr>
          <w:rFonts w:ascii="Times New Roman" w:hAnsi="Times New Roman"/>
          <w:sz w:val="24"/>
        </w:rPr>
        <w:t>O campo é a rede municipal de Tibau do Sul, no Rio Grande do Norte, percorrida em forma de funil: a análise começa na Secretaria Municipal de Educação e no território municipal e se estreita até a escola de Pipa. Na Secretaria, participa um técnico, o coordenador de políticas públicas e programas educacionais do município, cuja entrevista abre a investigação. Na escola, participam os profissionais da educação que atuam nos anos iniciais, do 1º ao 5º ano: docentes, coordenação pedagógica, direção e demais profissionais ligados ao trabalho pedagógico dessas turmas. Os dados serão construídos em cinco movimentos, a análise documental, da rede à escola, a leitura do território municipal com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 objetivo (a), sobre a tradução municipal da política, será respondido com os documentos da Secretaria, os dados do território municipal e a entrevista com o técnico, apresentados no Capítulo 6 e retomados no Capítulo 7. Os objetivos (b), (c) e (d) serão respondidos no Capítulo 7, com o questionário, as entrevistas e os documentos pedagógicos, orientados pelas questões analíticas de Mainardes (2006, p. 67-68) e pelas perguntas que o Capítulo 6 extraiu do contraste entre o município, o território de Pipa e a escola.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(b) e (d). O Capítulo 6 documenta as dimensões situacional, material e externa do contexto, base para os objetivos (a) e (c); os documentos de aquisição ainda serão analisados. É também o ponto indicado pela revisão sistemática do Capítulo 2, uma vez que nenhum dos nove estudos reunidos examina empiricamente a PNED, acompanha uma rede de pequeno porte da secretaria à escola ou segue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t>(a) Analisar a recontextualização da PNED pela Secretaria Municipal de Educação em planos, currículos, formações e orientações para a rede, considerando as especificidades das localidades do município</w:t>
            </w:r>
          </w:p>
        </w:tc>
        <w:tc>
          <w:tcPr>
            <w:tcW w:type="dxa" w:w="2351"/>
          </w:tcPr>
          <w:p>
            <w:r>
              <w:t>Contexto da prática na escala municipal; dimensão externa do contexto da escola. Documentos da Secretaria (plano da rede, currículo, formações, orientações, PME); dados do IBGE e do Censo Escolar por escola; entrevista com o técnico da Secretaria</w:t>
            </w:r>
          </w:p>
        </w:tc>
        <w:tc>
          <w:tcPr>
            <w:tcW w:type="dxa" w:w="2351"/>
          </w:tcPr>
          <w:p>
            <w:r>
              <w:t>6 e 7</w:t>
            </w:r>
          </w:p>
        </w:tc>
        <w:tc>
          <w:tcPr>
            <w:tcW w:type="dxa" w:w="2351"/>
          </w:tcPr>
          <w:p>
            <w:r>
              <w:t>A tradução municipal da PNED e o modo como ela considera, ou não, a diversidade das localidades</w:t>
            </w:r>
          </w:p>
        </w:tc>
      </w:tr>
      <w:tr>
        <w:tc>
          <w:tcPr>
            <w:tcW w:type="dxa" w:w="2351"/>
          </w:tcPr>
          <w:p>
            <w:r>
              <w:t>(b) Compreender a interpretação da PNED e das orientações municipais pelos profissionais da escola</w:t>
            </w:r>
          </w:p>
        </w:tc>
        <w:tc>
          <w:tcPr>
            <w:tcW w:type="dxa" w:w="2351"/>
          </w:tcPr>
          <w:p>
            <w:r>
              <w:t>Contexto da prática (culturas profissionais), com base nos contextos de influência e de produção do texto. Análise documental; questionário (Blocos 1, 2 e 5); entrevistas (Eixos 1 e 2)</w:t>
            </w:r>
          </w:p>
        </w:tc>
        <w:tc>
          <w:tcPr>
            <w:tcW w:type="dxa" w:w="2351"/>
          </w:tcPr>
          <w:p>
            <w:r>
              <w:t>5 e 7</w:t>
            </w:r>
          </w:p>
        </w:tc>
        <w:tc>
          <w:tcPr>
            <w:tcW w:type="dxa" w:w="2351"/>
          </w:tcPr>
          <w:p>
            <w:r>
              <w:t>Os sentidos atribuídos à política e às orientações municipais em cada posição institucional, lidos em relação ao que o texto efetivamente pede</w:t>
            </w:r>
          </w:p>
        </w:tc>
      </w:tr>
      <w:tr>
        <w:tc>
          <w:tcPr>
            <w:tcW w:type="dxa" w:w="2351"/>
          </w:tcPr>
          <w:p>
            <w:r>
              <w:t>(c) Examinar a relação entre as condições materiais e institucionais da escola, articuladas às especificidades de Pipa no território municipal, e a tradução da política</w:t>
            </w:r>
          </w:p>
        </w:tc>
        <w:tc>
          <w:tcPr>
            <w:tcW w:type="dxa" w:w="2351"/>
          </w:tcPr>
          <w:p>
            <w:r>
              <w:t>Contexto da prática (dimensões situacional e material). Leitura do território municipal; registro iconográfico e acervo do Museu Digital de Pipa; documentos de aquisição (a realizar); questionário (Bloco 3); entrevistas (Eixo 3)</w:t>
            </w:r>
          </w:p>
        </w:tc>
        <w:tc>
          <w:tcPr>
            <w:tcW w:type="dxa" w:w="2351"/>
          </w:tcPr>
          <w:p>
            <w:r>
              <w:t>6 e 7</w:t>
            </w:r>
          </w:p>
        </w:tc>
        <w:tc>
          <w:tcPr>
            <w:tcW w:type="dxa" w:w="2351"/>
          </w:tcPr>
          <w:p>
            <w:r>
              <w:t>As condições de tradução: vazio material, habitar o digital e rugosidade tecnológica</w:t>
            </w:r>
          </w:p>
        </w:tc>
      </w:tr>
      <w:tr>
        <w:tc>
          <w:tcPr>
            <w:tcW w:type="dxa" w:w="2351"/>
          </w:tcPr>
          <w:p>
            <w:r>
              <w:t>(d) Identificar as formas de atuação produzidas diante da política e das orientações municipais e suas implicações para as crianças</w:t>
            </w:r>
          </w:p>
        </w:tc>
        <w:tc>
          <w:tcPr>
            <w:tcW w:type="dxa" w:w="2351"/>
          </w:tcPr>
          <w:p>
            <w:r>
              <w:t>Contexto da prática (todas as dimensões). Entrevistas (Eixos 3, 4, 5 e 6); documentos pedagógicos; provisão, proteção e participação (ONU, 2021), com a leitura da lei no Capítulo 5</w:t>
            </w:r>
          </w:p>
        </w:tc>
        <w:tc>
          <w:tcPr>
            <w:tcW w:type="dxa" w:w="2351"/>
          </w:tcPr>
          <w:p>
            <w:r>
              <w:t>5 e 7</w:t>
            </w:r>
          </w:p>
        </w:tc>
        <w:tc>
          <w:tcPr>
            <w:tcW w:type="dxa" w:w="2351"/>
          </w:tcPr>
          <w:p>
            <w:r>
              <w:t>O mapa das formas de atuação, da adesão à resistência, das condições em que aparecem e do que produzem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em Pipa, convive com o território há quase duas décadas e trabalhou dezoito anos na rede municipal de Tibau do Sul. Durante o ensino remoto emergencial, esteve na Escola Municipal Domitila Castelo da Silva.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e o técnico da Secretaria, que conhece a trajetória da pesquisadora na administração municipal, pode apresentar a política da rede de modo mais favorável do que os documentos sustentam.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Tibau do Sul e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com unidades incorporadas, desenho que Yin (2001) descreve para os casos em que se examinam subunidades dentro de um mesmo caso [indicar a página na edição usada]. O caso é a encenação da PNED na rede municipal de Tibau do Sul, e as unidades de análise são a Secretaria Municipal de Educação, onde a política é traduzida para o município, e a Escola Municipal Domitila Castelo da Silva, onde ela chega ao contexto da prática. Não pretendemos representar outras redes ou escolas; o propósito é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Por essa razão, é preciso justificar a escolha do município e da escola. Tibau do Sul reúne, numa rede de pequeno porte, localidades muito diferentes entre si: a sede, a praia turística de Pipa, a comunidade quilombola de Sibaúma e povoados de feição rural. Uma política nacional precisa ser traduzida, ali, para escolas que não partilham as mesmas condições. A escola, por sua vez, reúne três características: convive com a movimentação de um polo turístico internacional, trabalha há muito tempo com limitações de infraestrutura e atende os anos iniciais do Ensino Fundamental, do 1º ao 5º ano, incluído o ciclo de alfabetização. O caso tem limites claros. Consiste na chegada do eixo Educação Digital Escolar à rede municipal de Tibau do Sul/RN, da Secretaria Municipal de Educação à Escola Municipal Domitila Castelo da Silva, em Pipa, com as condições do território e das instituições presentes nesse processo, e permite observar o encontro de uma diretriz de alcance nacional com um município de pequeno porte e diverso.</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 questão norteadora, o objeto e o objetivo geral empregam o termo encenação, que ocupa nesta tese o lugar de implementação por razões que convém explicitar.</w:t>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189-191),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Nesta tese, a dimensão externa tem fonte própria na Secretaria Municipal de Educação, com seus documentos e a entrevista com o técnico. Essas dimensões organizam a leitura do município e da escola,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 Na escala municipal, perguntamos também se e como a Secretaria considera as especificidades das localidades ao traduzir a política para a rede.</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No desenho em funil, a recontextualização acontece em dois lugares. Na Secretaria Municipal de Educação, a política nacional é lida e convertida em planos, formações e orientações para escolas situadas em localidades diferentes; na escola, essas orientações e o próprio texto da lei são lidos de novo, por profissionais com trajetórias e condições próprias. Tratamos a Secretaria como parte do contexto da prática em sua escala municipal, onde a política é interpretada antes de chegar às escolas, e, ao mesmo tempo, como fonte da dimensão externa do contexto da escola, nos termos de Ball, Maguire e Braun (2016). A pergunta sobre a diversidade do território acompanha os dois lugares: na rede, se os documentos e as orientações diferenciam as localidades, as escolas do campo e a escola da comunidade quilombola, para a qual há diretrizes próprias (BRASIL, 2012); na escola, como as condições de Pipa entram na tradução da política.</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uma localidade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de Pipa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xml:space="preserve">, com os critérios fixados nesta subseção.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numa localidade turística, e pode ganhar caráter de ressignificação. A resistência aparece quando a orientação é recusada ou contestada, de forma aberta ou não. Com Foucault, ela é lida como parte das relações de poder que a política mobiliza, já que essas relações “não são unívocas; definem inúmeros pontos de luta, focos de instabilidade comportando cada um seus riscos de conflito, de lutas e de inversão pelo menos transitória da relação de forças” (FOUCAULT, 1999, p. 29).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 xml:space="preserve">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no apoio à recomposição de aula, no apoio pedagógico, na coordenação ou na direção, essa variação será descrita como achado. A direção tem dois participantes, a coordenação, uma,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(Apêndices D e E)</w:t>
      </w:r>
      <w:r>
        <w:rPr>
          <w:rFonts w:ascii="Times New Roman" w:hAnsi="Times New Roman"/>
          <w:sz w:val="24"/>
        </w:rPr>
        <w:t xml:space="preserve">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Ball (2011, p. 46) adverte contra os estudos em que os sujeitos “emergem, resistentes e românticos, heróis althusserianos lutando contra a opressão”, e Freire (2019, p. 64-65) oferece o contrapeso à segunda leitura ao lembrar, em passagem já citada na Introdução, que o professor “precisa de condições favoráveis, higiênicas, espaciais, estéticas, sem as quais se move menos eficazmente no espaço pedagógico”.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rede municipal de Tibau do Sul/RN. Começa na Secretaria Municipal de Educação, que entrará como instituição coparticipante na emenda ao protocolo, ainda a ser submetida ao Comitê de Ética em Pesquisa [confirmar a anuência formal da Secretaria], e chega à Escola Municipal Domitila Castelo da Silva, em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O município entra no desenho pela diversidade de suas localidades. Tibau do Sul tem 102,68 km² (IBGE, 2025) e tinha 16.929 habitantes no Censo de 2022 (IBGE, 2023). O IBGE reconhece no município apenas o distrito sede, mas o cotidiano se organiza em localidades com feições próprias, entre elas a sede, Pipa, Sibaúma, certificada como comunidade remanescente de quilombo em 2005 (FUNDAÇÃO CULTURAL PALMARES, 2005), Piau e povoados rurais, segundo levantamento preliminar a ser confirmado na relação oficial da Prefeitura. Segundo o técnico da Secretaria, existe um plano elaborado para a rede como um todo [indicar nome, data e instância de aprovação do documento], e é a partir dele e das orientações municipais que a pesquisa pergunta como a política foi traduzida para essas localidades.</w:t>
      </w:r>
    </w:p>
    <w:p>
      <w:pPr>
        <w:spacing w:line="360" w:lineRule="auto"/>
        <w:ind w:firstLine="709"/>
        <w:jc w:val="both"/>
      </w:pPr>
      <w:r>
        <w:rPr>
          <w:rFonts w:ascii="Times New Roman" w:hAnsi="Times New Roman"/>
          <w:sz w:val="24"/>
        </w:rPr>
        <w:t xml:space="preserve">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 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A localidade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xml:space="preserve">. Ball, Maguire e Braun (2016, p. 74-75) registram essa diferença ao observar que “os atores nas escolas são posicionados de forma diferente e assumem posições diversas em relação à política”, e manteremos essa distinção durante toda a análise.</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Um técnico da Secretaria Municipal de Educação, o coordenador de políticas públicas e programas educacionais do município, será o primeiro a ser ouvido e é a principal fonte oral sobre a dimensão externa do contexto, isto é, sobre como as orientações nacionais são recebidas e traduzidas pela gestão municipal antes de chegar à escola; os documentos da Secretaria completam essa leitura, e a Secretaria é uma das unidades incorporadas do caso.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Participarão da pesquisa os profissionais da educação da Escola Municipal Domitila Castelo da Silva que atuam nos anos iniciais do Ensino Fundamental, do 1º ao 5º ano, e aceitarem o convite: as professoras e os professores regentes das quinze turmas, os dois docentes que atuam no apoio à recomposição de aula, os quatro profissionais do apoio pedagógico, a coordenadora pedagógica, a vice-diretora e o diretor, num total de 24 profissionais. Na Secretaria Municipal de Educação, participa um técnico, o coordenador de políticas públicas e programas educacionais do município, único participante da rede.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os dois docentes do apoio à recomposição de aula, os quatro profissionais do apoio pedagógico, a coordenadora pedagógica, a vice-diretora e o diretor,</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cada qual com as responsabilidades, as condições e as possibilidades de ação próprias da função.</w:t>
      </w:r>
    </w:p>
    <w:p>
      <w:pPr>
        <w:spacing w:line="360" w:lineRule="auto"/>
        <w:ind w:firstLine="709"/>
        <w:jc w:val="both"/>
      </w:pPr>
      <w:r>
        <w:rPr>
          <w:rFonts w:ascii="Times New Roman" w:hAnsi="Times New Roman"/>
          <w:sz w:val="24"/>
        </w:rPr>
        <w:t>O técnico foi escolhido pela função que exerce. É ele quem acompanha os programas e as orientações que chegam às escolas, e foi ele quem informou a existência de um plano elaborado para a rede como um todo. Por decisão tomada com a orientadora, a Secretaria é ouvida apenas por ele, e sua entrevista, a primeira do campo, permite compreender como a política foi recebida e traduzida no município, que plano, formações e orientações foram produzidos e se esses materiais consideram as especificidades das localidades, antes de a análise chegar ao cotidiano da escola.</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ordenados da rede municipal à escola e apresentados nas subseções seguintes e na seção 4.5. O primeiro é a análise documental, da rede à escola. Parte dos documentos já foi solicitada ao técnico da Secretaria e à direção da escola, e o que não estiver disponível em transparência ativa será pedido com base na Lei de Acesso à Informação (BRASIL, 2011). O segundo é a leitura do território municipal, com dados públicos sobre a população e as escolas de cada localidade, acompanhada do registro iconográfico da escola de Pipa, já realizado, que sustenta o Capítulo 6. O terceiro é o questionário de perfil e percepções, que situa os participantes da escola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a primeira com o técnico da Secretaria e as demais com os profissionais da escola, depois da sistematização do questionário, nas quais aparecem as interpretações, os sentidos e as justificativas.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três conjuntos, com finalidades diferentes, um da rede e dois da escola. Os dois da escola são os seguintes.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já solicitados ao técnico da Secretaria Municipal de Educação.</w:t>
      </w:r>
    </w:p>
    <w:p>
      <w:pPr>
        <w:spacing w:line="360" w:lineRule="auto"/>
        <w:ind w:firstLine="709"/>
        <w:jc w:val="both"/>
      </w:pPr>
      <w:r>
        <w:rPr>
          <w:rFonts w:ascii="Times New Roman" w:hAnsi="Times New Roman"/>
          <w:sz w:val="24"/>
        </w:rPr>
        <w:t>O conjunto da rede reúne o plano elaborado pela Secretaria para a rede, o currículo municipal e sua adequação à educação digital prevista na Resolução CNE/CEB nº 2/2025, os registros de formação continuada, as orientações, ofícios e comunicados enviados às escolas sobre a PNED ou a educação digital, o Plano Municipal de Educação, instituído pela Lei nº 517, de 24 de junho de 2015, com vigência decenal (TIBAU DO SUL, 2015) [conferir no texto da lei], e, se existirem, os diagnósticos de conectividade e de competências digitais das escolas. Como a vigência do plano terminou em 2025, será verificado junto à Secretaria se ele foi prorrogado ou substituído. À Prefeitura serão pedidos o Plano Diretor, a Lei Orgânica e o mapa ou memorial descritivo oficial do município, para a relação das localidades e os limites entre área urbana e rural.</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Os documentos da rede serão lidos com uma matriz própria, de cinco dimensões: a) a menção à PNED e à educação digital, ou sua ausência; b) as ações previstas, em currículo, formação, equipamentos e conectividade, com seus responsáveis, prazos e recursos; c) a diferenciação entre as localidades do município, as escolas do campo e a escola da comunidade quilombola, ou a ausência dela; d) as orientações dirigidas às escolas e as exigências de registro e de prestação de contas que as acompanham; e e) o lugar atribuído aos profissionais da educação na tradução da política. Essa leitura sustenta, no Capítulo 6, a resposta ao objetivo específico (a), retomada no Capítulo 7 com a entrevista do técnico.</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leitura do território municipal e registro iconográfico</w:t>
      </w:r>
    </w:p>
    <w:p>
      <w:pPr>
        <w:spacing w:line="360" w:lineRule="auto"/>
        <w:ind w:firstLine="709"/>
        <w:jc w:val="both"/>
      </w:pPr>
      <w:r>
        <w:rPr>
          <w:rFonts w:ascii="Times New Roman" w:hAnsi="Times New Roman"/>
          <w:sz w:val="24"/>
        </w:rPr>
        <w:t>O segundo movimento começa pelo município. A leitura do território municipal usa dados do IBGE, como a população, sua distribuição entre área urbana e rural e a população quilombola, e do Censo Escolar, escola por escola, com localização, etapas, matrículas, conectividade e equipamentos declarados [indicar ano e variáveis consultadas], para mostrar como a rede se distribui entre as localidades e em que condições cada uma recebe a política. Esses dados descrevem a rede; as demais escolas não são campo empírico, e nenhum profissional delas será ouvido. Na escola de Pipa, o movimento se completa com o registro iconográfico, apresentado a seguir.</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F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xml:space="preserve">, e duas peças cartográficas complementares, identificadas como F.1 e F.2,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 xml:space="preserve">No índice do Apêndice F,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da Silva;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 xml:space="preserve">O questionário serve para situar as pessoas e ajustar as conversas, e é esse o seu alcance.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(Apêndice D)</w:t>
      </w:r>
      <w:r>
        <w:rPr>
          <w:rFonts w:ascii="Times New Roman" w:hAnsi="Times New Roman"/>
          <w:sz w:val="24"/>
        </w:rPr>
        <w:t xml:space="preserve">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 xml:space="preserve">As entrevistas semiestruturadas são o principal momento de escuta. Serão individuais, com duração aproximada de 60 a 90 minutos, realizadas em espaço reservado, gravadas com o consentimento dos participantes e transcritas integralmente. O roteiro (Apêndice E)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A primeira entrevista será com o técnico da Secretaria Municipal de Educação. O roteiro (Apêndice E, Parte 4) aborda a compreensão municipal da PNED, o plano elaborado para a rede, o currículo municipal, as orientações repassadas às escolas, as ações realizadas, os processos de formação, as formas de acompanhamento, as condições oferecidas às unidades escolares, o modo como a Secretaria considera as especificidades das localidades, das escolas do campo e da escola quilombola, e as dificuldades e possibilidades percebidas. Essa escuta abre a investigação e permite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 xml:space="preserve">As fases da análise temática reflexiva (BRAUN; CLARKE, 2006, 2019) serão reunidas, nesta pesquisa, em três etapas: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 xml:space="preserve">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da Silva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e o mesmo vale para o técnico da Secretaria, único participante da rede, cuja função o torna identificável. O TCLE informará esse limite do anonimato, e as citações de sua entrevista tratarão da política municipal, sem atribuir a ele avaliações sobre colegas ou escolas.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 xml:space="preserve">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da Silva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 xml:space="preserve">O quarto é a reflexividade da pesquisadora, registrada ao longo do trabalho no diário de campo. Esse material alimentará a Declaração de Reflexividade do Apêndice G,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O campo tem quatro etapas, distribuídas em dez semanas. As duas primeiras são de entrada formal. Vamos apresentar a pesquisa à Secretaria Municipal de Educação e à equipe gestora da escola, explicar os objetivos do estudo e recolher as assinaturas dos Termos de Consentimento Livre e Esclarecido. Nessa etapa, os critérios de leitura das formas de atuação, descritos na seção 4.3, são datados e assinados, antes da primeira entrevista, e a pesquisadora confirma o recebimento dos documentos já solicitados ao técnico da Secretaria e à direção da escola e pede os que faltarem.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nesta ordem, o técnico da Secretaria Municipal de Educação, a coordenadora pedagógica, a vice-diretora e o diretor, para mapear, da rede à escola, o quadro institucional que orienta o acompanhamento da política. Na segunda, faremos as entrevistas individuais com os docentes das turmas do 1º ao 5º ano e com os demais profissionais, em ambiente reservado e com gravação em áudio consentida. Se o número de participantes exigir, essa etapa será estendida. Em paralelo, faremos a análise documental, da rede e da escola,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xml:space="preserve">), a amostragem intencional tem validade dentro de um contexto específico e não autoriza a generalização dos resultados para a população.</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p>
    <w:p>
      <w:pPr>
        <w:spacing w:line="360" w:lineRule="auto"/>
        <w:ind w:firstLine="709"/>
        <w:jc w:val="both"/>
      </w:pPr>
      <w:r>
        <w:rPr>
          <w:rFonts w:ascii="Times New Roman" w:hAnsi="Times New Roman"/>
          <w:sz w:val="24"/>
        </w:rPr>
        <w:t>O desenho em funil tem um limite próprio. A rede municipal é lida pelos documentos, pelos dados públicos e pela entrevista com um único técnico, e as demais escolas não são ouvidas. O que a tese disser sobre a tradução municipal da PNED para as localidades virá desses registros, sem a perspectiva das outras escolas sobre as orientações que receberam.</w:t>
      </w:r>
    </w:p>
    <w:p>
      <w:pPr>
        <w:spacing w:line="360" w:lineRule="auto"/>
        <w:ind w:firstLine="709"/>
        <w:jc w:val="both"/>
      </w:pPr>
      <w:r>
        <w:rPr>
          <w:rFonts w:ascii="Times New Roman" w:hAnsi="Times New Roman"/>
          <w:sz w:val="24"/>
        </w:rPr>
        <w:t xml:space="preserve">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G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Com esse desenho, cada capítulo de análise contribui para responder à questão norteadora. O Capítulo 5 examina o que a política promete e com que meios. O Capítulo 6 caracteriza as condições de recepção no território municipal, na rede e na escola.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pageBreakBefore/>
        <w:spacing w:line="360" w:lineRule="auto" w:before="240" w:after="240"/>
        <w:ind w:firstLine="0"/>
        <w:jc w:val="center"/>
      </w:pPr>
      <w:r>
        <w:rPr>
          <w:rFonts w:ascii="Times New Roman" w:hAnsi="Times New Roman"/>
          <w:b/>
          <w:sz w:val="24"/>
        </w:rPr>
        <w:t>REFERÊNCIAS</w:t>
      </w:r>
    </w:p>
    <w:p>
      <w:pPr>
        <w:spacing w:line="240" w:lineRule="auto" w:after="240"/>
        <w:jc w:val="left"/>
      </w:pPr>
      <w:r>
        <w:rPr>
          <w:rFonts w:ascii="Times New Roman" w:hAnsi="Times New Roman"/>
          <w:sz w:val="24"/>
        </w:rPr>
        <w:t xml:space="preserve">ANDRÉ, Marli Eliza Dalmazo Afonso de. </w:t>
      </w:r>
      <w:r>
        <w:rPr>
          <w:b/>
          <w:rFonts w:ascii="Times New Roman" w:hAnsi="Times New Roman"/>
          <w:sz w:val="24"/>
        </w:rPr>
        <w:t xml:space="preserve">Estudo de caso em pesquisa e avaliação educacional</w:t>
      </w:r>
      <w:r>
        <w:rPr>
          <w:rFonts w:ascii="Times New Roman" w:hAnsi="Times New Roman"/>
          <w:sz w:val="24"/>
        </w:rPr>
        <w:t xml:space="preserve">. Brasília, DF: Líber Livro, 2005.</w:t>
      </w:r>
    </w:p>
    <w:p>
      <w:pPr>
        <w:spacing w:line="360" w:lineRule="auto"/>
        <w:ind w:firstLine="709"/>
        <w:jc w:val="left"/>
      </w:pPr>
      <w:r>
        <w:rPr>
          <w:rFonts w:ascii="Times New Roman" w:hAnsi="Times New Roman"/>
          <w:sz w:val="24"/>
        </w:rPr>
        <w:t xml:space="preserve">BALL, Stephen J. Reformar escolas/reformar professores e os terrores da performatividade. </w:t>
      </w:r>
      <w:r>
        <w:rPr>
          <w:b/>
          <w:rFonts w:ascii="Times New Roman" w:hAnsi="Times New Roman"/>
          <w:sz w:val="24"/>
        </w:rPr>
        <w:t xml:space="preserve">Revista Portuguesa de Educação</w:t>
      </w:r>
      <w:r>
        <w:rPr>
          <w:rFonts w:ascii="Times New Roman" w:hAnsi="Times New Roman"/>
          <w:sz w:val="24"/>
        </w:rPr>
        <w:t xml:space="preserve">, Braga, v. 15, n. 2, p. 3-23, 2002.</w:t>
      </w:r>
    </w:p>
    <w:p>
      <w:pPr>
        <w:spacing w:line="240" w:lineRule="auto" w:after="240"/>
        <w:jc w:val="left"/>
      </w:pPr>
      <w:r>
        <w:rPr>
          <w:rFonts w:ascii="Times New Roman" w:hAnsi="Times New Roman"/>
          <w:sz w:val="24"/>
        </w:rPr>
        <w:t xml:space="preserve">BALL, Stephen J. Performatividade, privatização e o pós-Estado do bem-estar. </w:t>
      </w:r>
      <w:r>
        <w:rPr>
          <w:b/>
          <w:rFonts w:ascii="Times New Roman" w:hAnsi="Times New Roman"/>
          <w:sz w:val="24"/>
        </w:rPr>
        <w:t xml:space="preserve">Educação &amp; Sociedade</w:t>
      </w:r>
      <w:r>
        <w:rPr>
          <w:rFonts w:ascii="Times New Roman" w:hAnsi="Times New Roman"/>
          <w:sz w:val="24"/>
        </w:rPr>
        <w:t xml:space="preserve">, Campinas, v. 25, n. 89, p. 1105-1126, set./dez. 2004. DOI: https://doi.org/10.1590/S0101-73302004000400002.</w:t>
      </w:r>
    </w:p>
    <w:p>
      <w:pPr>
        <w:spacing w:line="240" w:lineRule="auto" w:after="240"/>
        <w:jc w:val="left"/>
      </w:pPr>
      <w:r>
        <w:rPr>
          <w:rFonts w:ascii="Times New Roman" w:hAnsi="Times New Roman"/>
          <w:sz w:val="24"/>
        </w:rPr>
        <w:t xml:space="preserve">BALL, Stephen J. </w:t>
      </w:r>
      <w:r>
        <w:rPr>
          <w:b/>
          <w:rFonts w:ascii="Times New Roman" w:hAnsi="Times New Roman"/>
          <w:sz w:val="24"/>
        </w:rPr>
        <w:t xml:space="preserve">The education debate</w:t>
      </w:r>
      <w:r>
        <w:rPr>
          <w:rFonts w:ascii="Times New Roman" w:hAnsi="Times New Roman"/>
          <w:sz w:val="24"/>
        </w:rPr>
        <w:t xml:space="preserve">. Bristol: The Policy Press, 2008.</w:t>
      </w:r>
    </w:p>
    <w:p>
      <w:pPr>
        <w:spacing w:line="240" w:lineRule="auto" w:after="240"/>
        <w:jc w:val="left"/>
      </w:pPr>
      <w:r>
        <w:rPr>
          <w:rFonts w:ascii="Times New Roman" w:hAnsi="Times New Roman"/>
          <w:sz w:val="24"/>
        </w:rPr>
        <w:t xml:space="preserve">BALL, Stephen J. Sociologia das políticas educacionais e pesquisa crítico-social: uma revisão pessoal das políticas educacionais e da pesquisa em política educacional. In: BALL, Stephen J.; MAINARDES, Jefferson (org.). </w:t>
      </w:r>
      <w:r>
        <w:rPr>
          <w:b/>
          <w:rFonts w:ascii="Times New Roman" w:hAnsi="Times New Roman"/>
          <w:sz w:val="24"/>
        </w:rPr>
        <w:t xml:space="preserve">Políticas educacionais</w:t>
      </w:r>
      <w:r>
        <w:rPr>
          <w:rFonts w:ascii="Times New Roman" w:hAnsi="Times New Roman"/>
          <w:sz w:val="24"/>
        </w:rPr>
        <w:t xml:space="preserve">: questões e dilemas. São Paulo: Cortez, 2011. p. 21-53.</w:t>
      </w:r>
    </w:p>
    <w:p>
      <w:pPr>
        <w:spacing w:line="240" w:lineRule="auto" w:after="240"/>
        <w:jc w:val="left"/>
      </w:pPr>
      <w:r>
        <w:rPr>
          <w:rFonts w:ascii="Times New Roman" w:hAnsi="Times New Roman"/>
          <w:sz w:val="24"/>
        </w:rPr>
        <w:t xml:space="preserve">BALL, Stephen J.; MAGUIRE, Meg; BRAUN, Annette. </w:t>
      </w:r>
      <w:r>
        <w:rPr>
          <w:b/>
          <w:rFonts w:ascii="Times New Roman" w:hAnsi="Times New Roman"/>
          <w:sz w:val="24"/>
        </w:rPr>
        <w:t xml:space="preserve">Como as escolas fazem as políticas</w:t>
      </w:r>
      <w:r>
        <w:rPr>
          <w:rFonts w:ascii="Times New Roman" w:hAnsi="Times New Roman"/>
          <w:sz w:val="24"/>
        </w:rPr>
        <w:t xml:space="preserve">: atuação em escolas secundárias. Tradução de Janete Bridon. Ponta Grossa: Editora UEPG, 2016.</w:t>
      </w:r>
    </w:p>
    <w:p>
      <w:pPr>
        <w:spacing w:line="240" w:lineRule="auto" w:after="240"/>
        <w:jc w:val="left"/>
      </w:pPr>
      <w:r>
        <w:rPr>
          <w:rFonts w:ascii="Times New Roman" w:hAnsi="Times New Roman"/>
          <w:sz w:val="24"/>
        </w:rPr>
        <w:t xml:space="preserve">BOGDAN, Robert C.; BIKLEN, Sari Knopp. </w:t>
      </w:r>
      <w:r>
        <w:rPr>
          <w:b/>
          <w:rFonts w:ascii="Times New Roman" w:hAnsi="Times New Roman"/>
          <w:sz w:val="24"/>
        </w:rPr>
        <w:t xml:space="preserve">Qualitative research for education</w:t>
      </w:r>
      <w:r>
        <w:rPr>
          <w:rFonts w:ascii="Times New Roman" w:hAnsi="Times New Roman"/>
          <w:sz w:val="24"/>
        </w:rPr>
        <w:t xml:space="preserve">: an introduction to theory and methods. 5. ed. Boston: Pearson/Allyn &amp; Bacon, 2007.</w:t>
      </w:r>
    </w:p>
    <w:p>
      <w:pPr>
        <w:spacing w:line="240" w:lineRule="auto" w:after="240"/>
        <w:jc w:val="left"/>
      </w:pPr>
      <w:r>
        <w:rPr>
          <w:rFonts w:ascii="Times New Roman" w:hAnsi="Times New Roman"/>
          <w:sz w:val="24"/>
        </w:rPr>
        <w:t xml:space="preserve">BOWE, Richard; BALL, Stephen J.; GOLD, Anne. </w:t>
      </w:r>
      <w:r>
        <w:rPr>
          <w:b/>
          <w:rFonts w:ascii="Times New Roman" w:hAnsi="Times New Roman"/>
          <w:sz w:val="24"/>
        </w:rPr>
        <w:t xml:space="preserve">Reforming education and changing schools</w:t>
      </w:r>
      <w:r>
        <w:rPr>
          <w:rFonts w:ascii="Times New Roman" w:hAnsi="Times New Roman"/>
          <w:sz w:val="24"/>
        </w:rPr>
        <w:t xml:space="preserve">: case studies in policy sociology. London: Routledge, 1992.</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Lei nº 12.527, de 18 de novembro de 2011. Regula o acesso a informações previsto no inciso XXXIII do art. 5º, no inciso II do § 3º do art. 37 e no § 2º do art. 216 da Constituição Federal. </w:t>
      </w:r>
      <w:r>
        <w:rPr>
          <w:b/>
          <w:rFonts w:ascii="Times New Roman" w:hAnsi="Times New Roman"/>
          <w:sz w:val="24"/>
        </w:rPr>
        <w:t>Diário Oficial da União</w:t>
      </w:r>
      <w:r>
        <w:rPr>
          <w:rFonts w:ascii="Times New Roman" w:hAnsi="Times New Roman"/>
          <w:sz w:val="24"/>
        </w:rPr>
        <w:t>: Brasília, DF, 2011.</w:t>
      </w:r>
    </w:p>
    <w:p>
      <w:pPr>
        <w:spacing w:line="240" w:lineRule="auto" w:after="240"/>
        <w:jc w:val="left"/>
      </w:pPr>
      <w:r>
        <w:rPr>
          <w:rFonts w:ascii="Times New Roman" w:hAnsi="Times New Roman"/>
          <w:sz w:val="24"/>
        </w:rPr>
        <w:t xml:space="preserve">BRASIL. Lei nº 9.394, de 20 de dezembro de 1996. Estabelece as diretrizes e bases da educação nacional. Brasília, DF: </w:t>
      </w:r>
      <w:r>
        <w:rPr>
          <w:b/>
          <w:rFonts w:ascii="Times New Roman" w:hAnsi="Times New Roman"/>
          <w:sz w:val="24"/>
        </w:rPr>
        <w:t xml:space="preserve">Diário Oficial da União</w:t>
      </w:r>
      <w:r>
        <w:rPr>
          <w:rFonts w:ascii="Times New Roman" w:hAnsi="Times New Roman"/>
          <w:sz w:val="24"/>
        </w:rPr>
        <w:t xml:space="preserve">, 1996.</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Educação. Câmara de Educação Básica. Resolução nº 8, de 20 de novembro de 2012. Define Diretrizes Curriculares Nacionais para a Educação Escolar Quilombola na Educação Básica. </w:t>
      </w:r>
      <w:r>
        <w:rPr>
          <w:b/>
          <w:rFonts w:ascii="Times New Roman" w:hAnsi="Times New Roman"/>
          <w:sz w:val="24"/>
        </w:rPr>
        <w:t>Diário Oficial da União</w:t>
      </w:r>
      <w:r>
        <w:rPr>
          <w:rFonts w:ascii="Times New Roman" w:hAnsi="Times New Roman"/>
          <w:sz w:val="24"/>
        </w:rPr>
        <w:t>: Brasília, DF, 2012.</w:t>
      </w:r>
    </w:p>
    <w:p>
      <w:pPr>
        <w:spacing w:line="240" w:lineRule="auto" w:after="240"/>
        <w:jc w:val="left"/>
      </w:pPr>
      <w:r>
        <w:rPr>
          <w:rFonts w:ascii="Times New Roman" w:hAnsi="Times New Roman"/>
          <w:sz w:val="24"/>
        </w:rPr>
        <w:t xml:space="preserve">BRASIL. Conselho Nacional de Saúde. Resolução nº 466, de 12 de dezembro de 2012. </w:t>
      </w:r>
      <w:r>
        <w:rPr>
          <w:b/>
          <w:rFonts w:ascii="Times New Roman" w:hAnsi="Times New Roman"/>
          <w:sz w:val="24"/>
        </w:rPr>
        <w:t xml:space="preserve">Diário Oficial da União</w:t>
      </w:r>
      <w:r>
        <w:rPr>
          <w:rFonts w:ascii="Times New Roman" w:hAnsi="Times New Roman"/>
          <w:sz w:val="24"/>
        </w:rPr>
        <w:t xml:space="preserve">: Brasília, DF, 13 jun. 2013.</w:t>
      </w:r>
    </w:p>
    <w:p>
      <w:pPr>
        <w:spacing w:line="240" w:lineRule="auto" w:after="240"/>
        <w:jc w:val="left"/>
      </w:pPr>
      <w:r>
        <w:rPr>
          <w:rFonts w:ascii="Times New Roman" w:hAnsi="Times New Roman"/>
          <w:sz w:val="24"/>
        </w:rPr>
        <w:t xml:space="preserve">BRASIL. Conselho Nacional de Saúde. Resolução nº 510, de 7 de abril de 2016. </w:t>
      </w:r>
      <w:r>
        <w:rPr>
          <w:b/>
          <w:rFonts w:ascii="Times New Roman" w:hAnsi="Times New Roman"/>
          <w:sz w:val="24"/>
        </w:rPr>
        <w:t xml:space="preserve">Diário Oficial da União</w:t>
      </w:r>
      <w:r>
        <w:rPr>
          <w:rFonts w:ascii="Times New Roman" w:hAnsi="Times New Roman"/>
          <w:sz w:val="24"/>
        </w:rPr>
        <w:t xml:space="preserve">: Brasília, DF, 24 maio 2016.</w:t>
      </w:r>
    </w:p>
    <w:p>
      <w:pPr>
        <w:spacing w:line="240" w:lineRule="auto" w:after="240"/>
        <w:jc w:val="left"/>
      </w:pPr>
      <w:r>
        <w:rPr>
          <w:rFonts w:ascii="Times New Roman" w:hAnsi="Times New Roman"/>
          <w:sz w:val="24"/>
        </w:rPr>
        <w:t xml:space="preserve">BRASIL. Lei nº 14.180, de 1º de julho de 2021. Institui a Política de Inovação Educação Conectada. </w:t>
      </w:r>
      <w:r>
        <w:rPr>
          <w:b/>
          <w:rFonts w:ascii="Times New Roman" w:hAnsi="Times New Roman"/>
          <w:sz w:val="24"/>
        </w:rPr>
        <w:t xml:space="preserve">Diário Oficial da União</w:t>
      </w:r>
      <w:r>
        <w:rPr>
          <w:rFonts w:ascii="Times New Roman" w:hAnsi="Times New Roman"/>
          <w:sz w:val="24"/>
        </w:rPr>
        <w:t xml:space="preserve">: Brasília, DF, 2 jul. 2021.</w:t>
      </w:r>
    </w:p>
    <w:p>
      <w:pPr>
        <w:spacing w:line="240" w:lineRule="auto" w:after="240"/>
        <w:jc w:val="left"/>
      </w:pPr>
      <w:r>
        <w:rPr>
          <w:rFonts w:ascii="Times New Roman" w:hAnsi="Times New Roman"/>
          <w:sz w:val="24"/>
        </w:rPr>
        <w:t xml:space="preserve">BRASIL. Lei nº 14.533, de 11 de janeiro de 2023. Institui a Política Nacional de Educação Digital. </w:t>
      </w:r>
      <w:r>
        <w:rPr>
          <w:b/>
          <w:rFonts w:ascii="Times New Roman" w:hAnsi="Times New Roman"/>
          <w:sz w:val="24"/>
        </w:rPr>
        <w:t xml:space="preserve">Diário Oficial da União</w:t>
      </w:r>
      <w:r>
        <w:rPr>
          <w:rFonts w:ascii="Times New Roman" w:hAnsi="Times New Roman"/>
          <w:sz w:val="24"/>
        </w:rPr>
        <w:t xml:space="preserve">: Brasília, DF, 12 jan. 2023.</w:t>
      </w:r>
    </w:p>
    <w:p>
      <w:pPr>
        <w:spacing w:line="240" w:lineRule="auto" w:after="240"/>
        <w:jc w:val="left"/>
      </w:pPr>
      <w:r>
        <w:rPr>
          <w:rFonts w:ascii="Times New Roman" w:hAnsi="Times New Roman"/>
          <w:sz w:val="24"/>
        </w:rPr>
        <w:t xml:space="preserve">BRASIL. Lei nº 14.817, de 16 de janeiro de 2024. Estabelece diretrizes para a valorização dos profissionais da educação escolar básica pública. Brasília, DF: </w:t>
      </w:r>
      <w:r>
        <w:rPr>
          <w:b/>
          <w:rFonts w:ascii="Times New Roman" w:hAnsi="Times New Roman"/>
          <w:sz w:val="24"/>
        </w:rPr>
        <w:t xml:space="preserve">Diário Oficial da União</w:t>
      </w:r>
      <w:r>
        <w:rPr>
          <w:rFonts w:ascii="Times New Roman" w:hAnsi="Times New Roman"/>
          <w:sz w:val="24"/>
        </w:rPr>
        <w:t xml:space="preserve">, 2024.</w:t>
      </w:r>
    </w:p>
    <w:p>
      <w:pPr>
        <w:spacing w:line="240" w:lineRule="auto" w:after="240"/>
        <w:jc w:val="left"/>
      </w:pPr>
      <w:r>
        <w:rPr>
          <w:rFonts w:ascii="Times New Roman" w:hAnsi="Times New Roman"/>
          <w:sz w:val="24"/>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w:t>
      </w:r>
      <w:r>
        <w:rPr>
          <w:b/>
          <w:rFonts w:ascii="Times New Roman" w:hAnsi="Times New Roman"/>
          <w:sz w:val="24"/>
        </w:rPr>
        <w:t xml:space="preserve">Diário Oficial da União</w:t>
      </w:r>
      <w:r>
        <w:rPr>
          <w:rFonts w:ascii="Times New Roman" w:hAnsi="Times New Roman"/>
          <w:sz w:val="24"/>
        </w:rPr>
        <w:t xml:space="preserve">, 2025.</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Base Nacional Comum Curricular</w:t>
      </w:r>
      <w:r>
        <w:rPr>
          <w:rFonts w:ascii="Times New Roman" w:hAnsi="Times New Roman"/>
          <w:sz w:val="24"/>
        </w:rPr>
        <w:t xml:space="preserve">. Brasília, DF: MEC, 2018.</w:t>
      </w:r>
    </w:p>
    <w:p>
      <w:pPr>
        <w:spacing w:line="240" w:lineRule="auto" w:after="240"/>
        <w:jc w:val="left"/>
      </w:pPr>
      <w:r>
        <w:rPr>
          <w:rFonts w:ascii="Times New Roman" w:hAnsi="Times New Roman"/>
          <w:sz w:val="24"/>
        </w:rPr>
        <w:t xml:space="preserve">BRASIL. Ministério da Educação. </w:t>
      </w:r>
      <w:r>
        <w:rPr>
          <w:b/>
          <w:rFonts w:ascii="Times New Roman" w:hAnsi="Times New Roman"/>
          <w:sz w:val="24"/>
        </w:rPr>
        <w:t xml:space="preserve">Complementação à Base Nacional Comum Curricular para Computação na Educação Básica</w:t>
      </w:r>
      <w:r>
        <w:rPr>
          <w:rFonts w:ascii="Times New Roman" w:hAnsi="Times New Roman"/>
          <w:sz w:val="24"/>
        </w:rPr>
        <w:t xml:space="preserve">. Brasília, DF: MEC, 2022.</w:t>
      </w:r>
    </w:p>
    <w:p>
      <w:pPr>
        <w:spacing w:line="240" w:lineRule="auto" w:after="240"/>
        <w:jc w:val="left"/>
      </w:pPr>
      <w:r>
        <w:rPr>
          <w:rFonts w:ascii="Times New Roman" w:hAnsi="Times New Roman"/>
          <w:sz w:val="24"/>
        </w:rPr>
        <w:t xml:space="preserve">BRAUN, Virginia; CLARKE, Victoria. Reflecting on reflexive thematic analysis. </w:t>
      </w:r>
      <w:r>
        <w:rPr>
          <w:b/>
          <w:rFonts w:ascii="Times New Roman" w:hAnsi="Times New Roman"/>
          <w:sz w:val="24"/>
        </w:rPr>
        <w:t xml:space="preserve">Qualitative Research in Sport, Exercise and Health</w:t>
      </w:r>
      <w:r>
        <w:rPr>
          <w:rFonts w:ascii="Times New Roman" w:hAnsi="Times New Roman"/>
          <w:sz w:val="24"/>
        </w:rPr>
        <w:t xml:space="preserve">, v. 11, n. 4, p. 589-597, 2019. DOI: https://doi.org/10.1080/2159676X.2019.1628806.</w:t>
      </w:r>
    </w:p>
    <w:p>
      <w:pPr>
        <w:spacing w:line="240" w:lineRule="auto" w:after="240"/>
        <w:jc w:val="left"/>
      </w:pPr>
      <w:r>
        <w:rPr>
          <w:rFonts w:ascii="Times New Roman" w:hAnsi="Times New Roman"/>
          <w:sz w:val="24"/>
        </w:rPr>
        <w:t xml:space="preserve">BRAUN, Virginia; CLARKE, Victoria. Using thematic analysis in psychology. </w:t>
      </w:r>
      <w:r>
        <w:rPr>
          <w:b/>
          <w:rFonts w:ascii="Times New Roman" w:hAnsi="Times New Roman"/>
          <w:sz w:val="24"/>
        </w:rPr>
        <w:t xml:space="preserve">Qualitative Research in Psychology</w:t>
      </w:r>
      <w:r>
        <w:rPr>
          <w:rFonts w:ascii="Times New Roman" w:hAnsi="Times New Roman"/>
          <w:sz w:val="24"/>
        </w:rPr>
        <w:t xml:space="preserve">, v. 3, n. 2, p. 77-101, 2006. DOI: https://doi.org/10.1191/1478088706qp063oa.</w:t>
      </w:r>
    </w:p>
    <w:p>
      <w:pPr>
        <w:spacing w:line="240" w:lineRule="auto" w:after="240"/>
        <w:jc w:val="left"/>
      </w:pPr>
      <w:r>
        <w:rPr>
          <w:rFonts w:ascii="Times New Roman" w:hAnsi="Times New Roman"/>
          <w:sz w:val="24"/>
        </w:rPr>
        <w:t xml:space="preserve">FOUCAULT, Michel. </w:t>
      </w:r>
      <w:r>
        <w:rPr>
          <w:b/>
          <w:rFonts w:ascii="Times New Roman" w:hAnsi="Times New Roman"/>
          <w:sz w:val="24"/>
        </w:rPr>
        <w:t xml:space="preserve">Vigiar e punir</w:t>
      </w:r>
      <w:r>
        <w:rPr>
          <w:rFonts w:ascii="Times New Roman" w:hAnsi="Times New Roman"/>
          <w:sz w:val="24"/>
        </w:rPr>
        <w:t xml:space="preserve">: nascimento da prisão. Tradução de Raquel Ramalhete. 20. ed. Petrópolis: Vozes, 1999.</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240" w:lineRule="auto" w:after="240"/>
        <w:jc w:val="left"/>
      </w:pPr>
      <w:r>
        <w:rPr>
          <w:rFonts w:ascii="Times New Roman" w:hAnsi="Times New Roman"/>
          <w:sz w:val="24"/>
        </w:rPr>
        <w:t xml:space="preserve">FUNDAÇÃO CULTURAL PALMARES. Portaria nº 26, de 6 de junho de 2005. </w:t>
      </w:r>
      <w:r>
        <w:rPr>
          <w:b/>
          <w:rFonts w:ascii="Times New Roman" w:hAnsi="Times New Roman"/>
          <w:sz w:val="24"/>
        </w:rPr>
        <w:t>Diário Oficial da União</w:t>
      </w:r>
      <w:r>
        <w:rPr>
          <w:rFonts w:ascii="Times New Roman" w:hAnsi="Times New Roman"/>
          <w:sz w:val="24"/>
        </w:rPr>
        <w:t>: seção 1, Brasília, DF, 8 jun. 2005. [conferir seção, página e ementa no DOU]</w:t>
      </w:r>
    </w:p>
    <w:p>
      <w:pPr>
        <w:spacing w:line="240" w:lineRule="auto" w:after="240"/>
        <w:jc w:val="left"/>
      </w:pPr>
      <w:r>
        <w:rPr>
          <w:rFonts w:ascii="Times New Roman" w:hAnsi="Times New Roman"/>
          <w:sz w:val="24"/>
        </w:rPr>
        <w:t xml:space="preserve">FREIRE, Paulo. </w:t>
      </w:r>
      <w:r>
        <w:rPr>
          <w:b/>
          <w:rFonts w:ascii="Times New Roman" w:hAnsi="Times New Roman"/>
          <w:sz w:val="24"/>
        </w:rPr>
        <w:t xml:space="preserve">Pedagogia da autonomia</w:t>
      </w:r>
      <w:r>
        <w:rPr>
          <w:rFonts w:ascii="Times New Roman" w:hAnsi="Times New Roman"/>
          <w:sz w:val="24"/>
        </w:rPr>
        <w:t xml:space="preserve">: saberes necessários à prática educativa. 60. ed. Rio de Janeiro: Paz e Terra, 2019.</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IBGE. </w:t>
      </w:r>
      <w:r>
        <w:rPr>
          <w:b/>
          <w:rFonts w:ascii="Times New Roman" w:hAnsi="Times New Roman"/>
          <w:sz w:val="24"/>
        </w:rPr>
        <w:t>Censo Demográfico 2022</w:t>
      </w:r>
      <w:r>
        <w:rPr>
          <w:rFonts w:ascii="Times New Roman" w:hAnsi="Times New Roman"/>
          <w:sz w:val="24"/>
        </w:rPr>
        <w:t>: população e domicílios: primeiros resultados. Rio de Janeiro: IBGE, 2023.</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IBGE. </w:t>
      </w:r>
      <w:r>
        <w:rPr>
          <w:b/>
          <w:rFonts w:ascii="Times New Roman" w:hAnsi="Times New Roman"/>
          <w:sz w:val="24"/>
        </w:rPr>
        <w:t>Cidades@: Tibau do Sul</w:t>
      </w:r>
      <w:r>
        <w:rPr>
          <w:rFonts w:ascii="Times New Roman" w:hAnsi="Times New Roman"/>
          <w:sz w:val="24"/>
        </w:rPr>
        <w:t>. Rio de Janeiro: IBGE, 2025. Disponível em: https://cidades.ibge.gov.br/brasil/rn/tibau-do-sul. Acesso em: [indicar a data de acesso].</w:t>
      </w:r>
    </w:p>
    <w:p>
      <w:pPr>
        <w:spacing w:line="360" w:lineRule="auto"/>
        <w:ind w:firstLine="709"/>
        <w:jc w:val="left"/>
      </w:pPr>
      <w:r>
        <w:rPr>
          <w:rFonts w:ascii="Times New Roman" w:hAnsi="Times New Roman"/>
          <w:sz w:val="24"/>
        </w:rPr>
        <w:t xml:space="preserve">HARGREAVES, Andy. </w:t>
      </w:r>
      <w:r>
        <w:rPr>
          <w:b/>
          <w:rFonts w:ascii="Times New Roman" w:hAnsi="Times New Roman"/>
          <w:sz w:val="24"/>
        </w:rPr>
        <w:t xml:space="preserve">Profesorado, cultura y postmodernidad</w:t>
      </w:r>
      <w:r>
        <w:rPr>
          <w:rFonts w:ascii="Times New Roman" w:hAnsi="Times New Roman"/>
          <w:sz w:val="24"/>
        </w:rPr>
        <w:t xml:space="preserve">: cambian los tiempos, cambia el profesorado. 5. ed. Madrid: Morata, 2005.</w:t>
      </w:r>
    </w:p>
    <w:p>
      <w:pPr>
        <w:spacing w:line="240" w:lineRule="auto" w:after="240"/>
        <w:jc w:val="left"/>
      </w:pPr>
      <w:r>
        <w:rPr>
          <w:rFonts w:ascii="Times New Roman" w:hAnsi="Times New Roman"/>
          <w:sz w:val="24"/>
        </w:rPr>
        <w:t xml:space="preserve">MAINARDES, Jefferson. Abordagem do ciclo de políticas: uma contribuição para a análise de políticas educacionais. </w:t>
      </w:r>
      <w:r>
        <w:rPr>
          <w:b/>
          <w:rFonts w:ascii="Times New Roman" w:hAnsi="Times New Roman"/>
          <w:sz w:val="24"/>
        </w:rPr>
        <w:t xml:space="preserve">Educação &amp; Sociedade</w:t>
      </w:r>
      <w:r>
        <w:rPr>
          <w:rFonts w:ascii="Times New Roman" w:hAnsi="Times New Roman"/>
          <w:sz w:val="24"/>
        </w:rPr>
        <w:t xml:space="preserve">, Campinas, v. 27, n. 94, p. 47-69, jan./abr. 2006. DOI: https://doi.org/10.1590/S0101-73302006000100003.</w:t>
      </w:r>
    </w:p>
    <w:p>
      <w:pPr>
        <w:spacing w:line="240" w:lineRule="auto" w:after="240"/>
        <w:jc w:val="left"/>
      </w:pPr>
      <w:r>
        <w:rPr>
          <w:rFonts w:ascii="Times New Roman" w:hAnsi="Times New Roman"/>
          <w:sz w:val="24"/>
        </w:rPr>
        <w:t xml:space="preserve">MARCONI, Marina de Andrade; LAKATOS, Eva Maria. </w:t>
      </w:r>
      <w:r>
        <w:rPr>
          <w:b/>
          <w:rFonts w:ascii="Times New Roman" w:hAnsi="Times New Roman"/>
          <w:sz w:val="24"/>
        </w:rPr>
        <w:t xml:space="preserve">Metodologia científica</w:t>
      </w:r>
      <w:r>
        <w:rPr>
          <w:rFonts w:ascii="Times New Roman" w:hAnsi="Times New Roman"/>
          <w:sz w:val="24"/>
        </w:rPr>
        <w:t xml:space="preserve">. 5. ed. São Paulo: Atlas, 2007.</w:t>
      </w:r>
    </w:p>
    <w:p>
      <w:pPr>
        <w:spacing w:line="240" w:lineRule="auto" w:after="240"/>
        <w:jc w:val="left"/>
      </w:pPr>
      <w:r>
        <w:rPr>
          <w:rFonts w:ascii="Times New Roman" w:hAnsi="Times New Roman"/>
          <w:sz w:val="24"/>
        </w:rPr>
        <w:t xml:space="preserve">MINAYO, Maria Cecília de Souza (org.). </w:t>
      </w:r>
      <w:r>
        <w:rPr>
          <w:b/>
          <w:rFonts w:ascii="Times New Roman" w:hAnsi="Times New Roman"/>
          <w:sz w:val="24"/>
        </w:rPr>
        <w:t xml:space="preserve">Pesquisa social</w:t>
      </w:r>
      <w:r>
        <w:rPr>
          <w:rFonts w:ascii="Times New Roman" w:hAnsi="Times New Roman"/>
          <w:sz w:val="24"/>
        </w:rPr>
        <w:t xml:space="preserve">: teoria, método e criatividade. 28. ed. Petrópolis, RJ: Vozes, 2009.</w:t>
      </w:r>
    </w:p>
    <w:p>
      <w:pPr>
        <w:spacing w:line="240" w:lineRule="auto" w:after="240"/>
        <w:jc w:val="left"/>
      </w:pPr>
      <w:r>
        <w:rPr>
          <w:rFonts w:ascii="Times New Roman" w:hAnsi="Times New Roman"/>
          <w:sz w:val="24"/>
        </w:rPr>
        <w:t xml:space="preserve">OLIVEIRA, Dalila Andrade; VIEIRA, Lívia Fraga. </w:t>
      </w:r>
      <w:r>
        <w:rPr>
          <w:b/>
          <w:rFonts w:ascii="Times New Roman" w:hAnsi="Times New Roman"/>
          <w:sz w:val="24"/>
        </w:rPr>
        <w:t xml:space="preserve">Trabalho na educação em sete estados brasileiros</w:t>
      </w:r>
      <w:r>
        <w:rPr>
          <w:rFonts w:ascii="Times New Roman" w:hAnsi="Times New Roman"/>
          <w:sz w:val="24"/>
        </w:rPr>
        <w:t xml:space="preserve">. Belo Horizonte: Fino Traço, 2012.</w:t>
      </w:r>
    </w:p>
    <w:p>
      <w:pPr>
        <w:spacing w:line="360" w:lineRule="auto"/>
        <w:ind w:firstLine="709"/>
        <w:jc w:val="left"/>
      </w:pPr>
      <w:r>
        <w:rPr>
          <w:rFonts w:ascii="Times New Roman" w:hAnsi="Times New Roman"/>
          <w:sz w:val="24"/>
        </w:rPr>
        <w:t xml:space="preserve">ONU. Comitê dos Direitos da Criança. </w:t>
      </w:r>
      <w:r>
        <w:rPr>
          <w:b/>
          <w:rFonts w:ascii="Times New Roman" w:hAnsi="Times New Roman"/>
          <w:sz w:val="24"/>
        </w:rPr>
        <w:t xml:space="preserve">Comentário Geral nº 25 (2021) sobre os direitos das crianças em relação ao ambiente digital</w:t>
      </w:r>
      <w:r>
        <w:rPr>
          <w:rFonts w:ascii="Times New Roman" w:hAnsi="Times New Roman"/>
          <w:sz w:val="24"/>
        </w:rPr>
        <w:t xml:space="preserve">. CRC/C/GC/25. Genebra: ONU, 2021.</w:t>
      </w:r>
    </w:p>
    <w:p>
      <w:pPr>
        <w:spacing w:line="240" w:lineRule="auto" w:after="240"/>
        <w:jc w:val="left"/>
      </w:pPr>
      <w:r>
        <w:rPr>
          <w:rFonts w:ascii="Times New Roman" w:hAnsi="Times New Roman"/>
          <w:sz w:val="24"/>
        </w:rPr>
        <w:t xml:space="preserve">QUEIROZ, Maria Aparecida de; PAIVA, Maria Cristina Leandro de. A valorização do trabalho docente e a formação profissional. In: FRANÇA, Magna; MOMO, Mariângela (org.). </w:t>
      </w:r>
      <w:r>
        <w:rPr>
          <w:b/>
          <w:rFonts w:ascii="Times New Roman" w:hAnsi="Times New Roman"/>
          <w:sz w:val="24"/>
        </w:rPr>
        <w:t xml:space="preserve">Processo democrático participativo</w:t>
      </w:r>
      <w:r>
        <w:rPr>
          <w:rFonts w:ascii="Times New Roman" w:hAnsi="Times New Roman"/>
          <w:sz w:val="24"/>
        </w:rPr>
        <w:t xml:space="preserve">: a construção do PNE. Campinas: Mercado de Letras, 2014. p. 249-286.</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w:t>
      </w:r>
      <w:r>
        <w:rPr>
          <w:b/>
          <w:rFonts w:ascii="Times New Roman" w:hAnsi="Times New Roman"/>
          <w:sz w:val="24"/>
        </w:rPr>
        <w:t>Lei nº 517, de 24 de junho de 2015</w:t>
      </w:r>
      <w:r>
        <w:rPr>
          <w:rFonts w:ascii="Times New Roman" w:hAnsi="Times New Roman"/>
          <w:sz w:val="24"/>
        </w:rPr>
        <w:t>. Aprova o Plano Municipal de Educação. Tibau do Sul: Câmara Municipal, 2015. [conferir ementa e órgão de publicação]</w:t>
      </w:r>
    </w:p>
    <w:p>
      <w:pPr>
        <w:spacing w:line="240" w:lineRule="auto" w:after="240"/>
        <w:jc w:val="left"/>
      </w:pPr>
      <w:r>
        <w:rPr>
          <w:rFonts w:ascii="Times New Roman" w:hAnsi="Times New Roman"/>
          <w:sz w:val="24"/>
        </w:rPr>
        <w:t xml:space="preserve">SANTOS, Milton. </w:t>
      </w:r>
      <w:r>
        <w:rPr>
          <w:b/>
          <w:rFonts w:ascii="Times New Roman" w:hAnsi="Times New Roman"/>
          <w:sz w:val="24"/>
        </w:rPr>
        <w:t xml:space="preserve">Espaço e método</w:t>
      </w:r>
      <w:r>
        <w:rPr>
          <w:rFonts w:ascii="Times New Roman" w:hAnsi="Times New Roman"/>
          <w:sz w:val="24"/>
        </w:rPr>
        <w:t xml:space="preserve">. 5. ed., 1. reimpr. São Paulo: Editora da Universidade de São Paulo, 2012.</w:t>
      </w:r>
    </w:p>
    <w:p>
      <w:pPr>
        <w:spacing w:line="240" w:lineRule="auto" w:after="240"/>
        <w:jc w:val="left"/>
      </w:pPr>
      <w:r>
        <w:rPr>
          <w:rFonts w:ascii="Times New Roman" w:hAnsi="Times New Roman"/>
          <w:sz w:val="24"/>
        </w:rPr>
        <w:t xml:space="preserve">TIBAU DO SUL. Secretaria de Educação. </w:t>
      </w:r>
      <w:r>
        <w:rPr>
          <w:b/>
          <w:rFonts w:ascii="Times New Roman" w:hAnsi="Times New Roman"/>
          <w:sz w:val="24"/>
        </w:rPr>
        <w:t xml:space="preserve">Relatório sintético de turmas</w:t>
      </w:r>
      <w:r>
        <w:rPr>
          <w:rFonts w:ascii="Times New Roman" w:hAnsi="Times New Roman"/>
          <w:sz w:val="24"/>
        </w:rPr>
        <w:t xml:space="preserve">: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 xml:space="preserve">YIN, Robert K. </w:t>
      </w:r>
      <w:r>
        <w:rPr>
          <w:b/>
          <w:rFonts w:ascii="Times New Roman" w:hAnsi="Times New Roman"/>
          <w:sz w:val="24"/>
        </w:rPr>
        <w:t xml:space="preserve">Estudo de caso</w:t>
      </w:r>
      <w:r>
        <w:rPr>
          <w:rFonts w:ascii="Times New Roman" w:hAnsi="Times New Roman"/>
          <w:sz w:val="24"/>
        </w:rPr>
        <w:t xml:space="preserve">: planejamento e métodos. 2. ed. Porto Alegre: Bookman, 2001.</w:t>
      </w:r>
    </w:p>
    <w:p>
      <w:pPr>
        <w:pageBreakBefore/>
        <w:spacing w:line="360" w:lineRule="auto" w:before="240" w:after="240"/>
        <w:ind w:firstLine="0"/>
        <w:jc w:val="center"/>
      </w:pPr>
      <w:r>
        <w:rPr>
          <w:rFonts w:ascii="Times New Roman" w:hAnsi="Times New Roman"/>
          <w:b/>
          <w:sz w:val="24"/>
        </w:rPr>
        <w:t xml:space="preserve">APÊNDICE D – QUESTIONÁRIO DE PERFIL E PERCEPÇÕES SOBRE A PNED</w:t>
      </w:r>
    </w:p>
    <w:p>
      <w:pPr>
        <w:spacing w:line="240" w:lineRule="auto" w:after="40"/>
        <w:jc w:val="left"/>
      </w:pPr>
      <w:r>
        <w:rPr>
          <w:rFonts w:ascii="Times New Roman" w:hAnsi="Times New Roman"/>
          <w:sz w:val="24"/>
        </w:rPr>
        <w:t>Pesquisa: A encenação da Política Nacional de Educação Digital em Tibau do Sul/RN: da Secretaria Municipal de Educação à escola de Pipa, entre culturas profissionais, território e resistências.</w:t>
      </w:r>
    </w:p>
    <w:p>
      <w:pPr>
        <w:spacing w:line="240" w:lineRule="auto" w:after="40"/>
        <w:jc w:val="left"/>
      </w:pPr>
      <w:r>
        <w:rPr>
          <w:rFonts w:ascii="Times New Roman" w:hAnsi="Times New Roman"/>
          <w:sz w:val="24"/>
        </w:rPr>
        <w:t xml:space="preserve">Público: Profissionais da educação da Escola Municipal Domitila Castelo da Silva, em Pipa, Tibau do Sul (RN), que atuam nos anos iniciais do Ensino Fundamental (1º ao 5º ano): docentes regentes e de apoio à recomposição de aula, profissionais do apoio pedagógico, coordenação pedagógica e direção.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Apoio à recomposição de aula</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outra localidade de Tibau do Sul ou em outro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da localidade,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pPr>
        <w:pageBreakBefore/>
        <w:spacing w:line="360" w:lineRule="auto" w:before="240" w:after="240"/>
        <w:ind w:firstLine="0"/>
        <w:jc w:val="center"/>
      </w:pPr>
      <w:r>
        <w:rPr>
          <w:rFonts w:ascii="Times New Roman" w:hAnsi="Times New Roman"/>
          <w:b/>
          <w:sz w:val="24"/>
        </w:rPr>
        <w:t xml:space="preserve">APÊNDICE E – ROTEIRO DE ENTREVISTA SEMIESTRUTURADA EM PROFUNDIDADE</w:t>
      </w:r>
    </w:p>
    <w:p>
      <w:pPr>
        <w:spacing w:line="240" w:lineRule="auto" w:after="40"/>
        <w:jc w:val="left"/>
      </w:pPr>
      <w:r>
        <w:rPr>
          <w:rFonts w:ascii="Times New Roman" w:hAnsi="Times New Roman"/>
          <w:sz w:val="24"/>
        </w:rPr>
        <w:t>Pesquisa: A encenação da Política Nacional de Educação Digital em Tibau do Sul/RN: da Secretaria Municipal de Educação à escola de Pipa, entre culturas profissionais, território e resistências.</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 xml:space="preserve">1. Conte um pouco da sua trajetória na educação e de como chegou à Escola Municipal Domitila Castelo da Silva.</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em Pipa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Primeira entrevista do campo. O técnico participa apenas da entrevista. As perguntas tratam de como as orientações nacionais são recebidas e traduzidas pela gestão municipal antes de chegar às escolas e de como essa tradução considera as diferentes localidades do município.</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Você mencionou um plano elaborado para a rede como um todo. Como ele foi construído, por quem, quando, e o que ele prevê sobre educação digital?</w:t>
      </w:r>
    </w:p>
    <w:p>
      <w:pPr>
        <w:spacing w:line="240" w:lineRule="auto" w:after="40"/>
        <w:jc w:val="left"/>
      </w:pPr>
      <w:r>
        <w:rPr>
          <w:rFonts w:ascii="Times New Roman" w:hAnsi="Times New Roman"/>
          <w:sz w:val="24"/>
        </w:rPr>
        <w:t>4. Como a educação digital entrou, ou está entrando, no currículo da rede? Como esse trabalho foi organizado?</w:t>
      </w:r>
    </w:p>
    <w:p>
      <w:pPr>
        <w:spacing w:line="240" w:lineRule="auto" w:after="40"/>
        <w:jc w:val="left"/>
      </w:pPr>
      <w:r>
        <w:rPr>
          <w:rFonts w:ascii="Times New Roman" w:hAnsi="Times New Roman"/>
          <w:sz w:val="24"/>
        </w:rPr>
        <w:t>5. Que orientações, documentos ou formações a Secretaria ofereceu às escolas sobre educação digital? Desde quando, e para quem?</w:t>
      </w:r>
    </w:p>
    <w:p>
      <w:pPr>
        <w:spacing w:line="240" w:lineRule="auto" w:after="40"/>
        <w:jc w:val="left"/>
      </w:pPr>
      <w:r>
        <w:rPr>
          <w:rFonts w:ascii="Times New Roman" w:hAnsi="Times New Roman"/>
          <w:sz w:val="24"/>
        </w:rPr>
        <w:t>6. As escolas do município estão em lugares muito diferentes, da sede a Pipa, dos povoados rurais a Sibaúma. Essas diferenças aparecem no plano, nas orientações ou nas formações? De que modo?</w:t>
      </w:r>
    </w:p>
    <w:p>
      <w:pPr>
        <w:spacing w:line="240" w:lineRule="auto" w:after="40"/>
        <w:jc w:val="left"/>
      </w:pPr>
      <w:r>
        <w:rPr>
          <w:rFonts w:ascii="Times New Roman" w:hAnsi="Times New Roman"/>
          <w:sz w:val="24"/>
        </w:rPr>
        <w:t>7. Há orientações próprias para as escolas do campo ou para a escola da comunidade quilombola? Como elas se relacionam com a educação digital?</w:t>
      </w:r>
    </w:p>
    <w:p>
      <w:pPr>
        <w:spacing w:line="240" w:lineRule="auto" w:after="40"/>
        <w:jc w:val="left"/>
      </w:pPr>
      <w:r>
        <w:rPr>
          <w:rFonts w:ascii="Times New Roman" w:hAnsi="Times New Roman"/>
          <w:sz w:val="24"/>
        </w:rPr>
        <w:t>8. Como a Secretaria acompanha o trabalho das escolas nessa área? Que registros ou informações pede a elas?</w:t>
      </w:r>
    </w:p>
    <w:p>
      <w:pPr>
        <w:spacing w:line="240" w:lineRule="auto" w:after="40"/>
        <w:jc w:val="left"/>
      </w:pPr>
      <w:r>
        <w:rPr>
          <w:rFonts w:ascii="Times New Roman" w:hAnsi="Times New Roman"/>
          <w:sz w:val="24"/>
        </w:rPr>
        <w:t>9.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10.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 xml:space="preserve">Linguagem: as categorias analíticas (performatividade, fabricação, omissão seletiva, resistência)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 xml:space="preserve">Cuidado ético adicional: relatos sobre registros que não correspondem à prática serão tratados como expressão das condições de trabalho, sem serem tomados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headerReference w:type="default" r:id="rId9"/>
      <w:footerReference w:type="default" r:id="rId10"/>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