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ENCENAÇÃO DA POLÍTICA NACIONAL DE EDUCAÇÃO DIGITAL (PNED) EM PIPA/RN: CULTURAS PROFISSIONAIS, TERRITÓRIO E RESISTÊNCIAS NO CONTEXTO DA PRÁTICA</w:t>
      </w:r>
    </w:p>
    <w:p>
      <w:pPr>
        <w:jc w:val="center"/>
      </w:pPr>
      <w:r>
        <w:rPr>
          <w:sz w:val="20"/>
        </w:rPr>
        <w:t>Proposta de pesquisa – Yzynya Silva Rezende Machado | Orientadora: Profa. Dra. Maria Cristina Leandro de Paiva | PPGEd/UFRN</w:t>
      </w:r>
    </w:p>
    <w:p>
      <w:pPr>
        <w:keepNext/>
        <w:spacing w:before="120" w:after="40" w:line="240" w:lineRule="auto"/>
      </w:pPr>
      <w:r>
        <w:rPr>
          <w:b/>
        </w:rPr>
        <w:t>1 OBJETO</w:t>
      </w:r>
    </w:p>
    <w:p>
      <w:pPr>
        <w:spacing w:line="276" w:lineRule="auto" w:after="0"/>
        <w:ind w:firstLine="709"/>
        <w:jc w:val="both"/>
      </w:pPr>
      <w:r>
        <w:t>A encenação da PNED, em seu eixo Educação Digital Escolar, pelos profissionais da educação dos anos iniciais do Ensino Fundamental (1º ao 5º ano) da Escola Municipal Domitila Castelo, em Pipa, Tibau do Sul (RN). Com a Abordagem do Ciclo de Políticas (ACP), em especial o contexto da prática, a política é compreendida como processo interpretado, traduzido e recriado por quem a põe em movimento (BOWE; BALL; GOLD, 1992; MAINARDES, 2006); encenação é o nome que damos ao policy enactment de Ball, Maguire e Braun (2016). Interessa compreender esse processo considerando as condições institucionais e materiais da escola, as culturas profissionais e as especificidades socioespaciais do território.</w:t>
      </w:r>
    </w:p>
    <w:p>
      <w:pPr>
        <w:keepNext/>
        <w:spacing w:before="120" w:after="40" w:line="240" w:lineRule="auto"/>
      </w:pPr>
      <w:r>
        <w:rPr>
          <w:b/>
        </w:rPr>
        <w:t>2 QUESTÃO DE PESQUISA</w:t>
      </w:r>
    </w:p>
    <w:p>
      <w:pPr>
        <w:spacing w:line="276" w:lineRule="auto" w:after="0"/>
        <w:ind w:firstLine="709"/>
        <w:jc w:val="both"/>
      </w:pPr>
      <w:r>
        <w:t>Como os profissionais da educação encenam e recontextualizam a PNED no contexto da prática da Escola Municipal Domitila Castelo, em Pipa (RN), e como as condições institucionais, materiais, profissionais e socioespaciais do território atravessam esse processo?</w:t>
      </w:r>
    </w:p>
    <w:p>
      <w:pPr>
        <w:keepNext/>
        <w:spacing w:before="120" w:after="40" w:line="240" w:lineRule="auto"/>
      </w:pPr>
      <w:r>
        <w:rPr>
          <w:b/>
        </w:rPr>
        <w:t>3 OBJETIVOS</w:t>
      </w:r>
    </w:p>
    <w:p>
      <w:pPr>
        <w:spacing w:line="276" w:lineRule="auto" w:after="0"/>
        <w:ind w:firstLine="709"/>
        <w:jc w:val="both"/>
      </w:pPr>
      <w:r>
        <w:rPr>
          <w:b/>
        </w:rPr>
        <w:t>Geral:</w:t>
      </w:r>
      <w:r>
        <w:t xml:space="preserve"> analisar como os profissionais da educação encenam e recontextualizam a PNED no contexto da prática da Escola Municipal Domitila Castelo, considerando as relações entre a política, as culturas profissionais, as condições materiais e institucionais da escola e as especificidades socioespaciais do território.</w:t>
      </w:r>
    </w:p>
    <w:p>
      <w:pPr>
        <w:spacing w:line="276" w:lineRule="auto" w:after="0"/>
        <w:ind w:firstLine="709"/>
        <w:jc w:val="both"/>
      </w:pPr>
      <w:r>
        <w:rPr>
          <w:b/>
        </w:rPr>
        <w:t>Específicos:</w:t>
      </w:r>
      <w:r>
        <w:t xml:space="preserve"> a) compreender como os diferentes profissionais interpretam os textos da PNED e os discursos sobre educação digital, a partir de suas experiências, crenças, valores e formas de organizar o trabalho (HARGREAVES, 2005); b) analisar como as condições institucionais e materiais da escola e as especificidades do território atravessam a tradução da PNED em ações, escolhas e práticas cotidianas (BALL; MAGUIRE; BRAUN, 2016; SANTOS, 1999); c) identificar as diferentes formas de atuação produzidas diante da política, como adesão, acomodação, adaptação, omissão, negociação, ressignificação e resistência, sem pressupor a predominância de nenhuma delas; d) discutir as implicações dessas formas de encenação para a educação digital das crianças, nas dimensões de provisão, proteção e participação no ambiente digital (ONU, 2021; BRASIL, 2025b).</w:t>
      </w:r>
    </w:p>
    <w:p>
      <w:pPr>
        <w:keepNext/>
        <w:spacing w:before="120" w:after="40" w:line="240" w:lineRule="auto"/>
      </w:pPr>
      <w:r>
        <w:rPr>
          <w:b/>
        </w:rPr>
        <w:t>4 INEDITISMO</w:t>
      </w:r>
    </w:p>
    <w:p>
      <w:pPr>
        <w:spacing w:line="276" w:lineRule="auto" w:after="0"/>
        <w:ind w:firstLine="709"/>
        <w:jc w:val="both"/>
      </w:pPr>
      <w:r>
        <w:t>A primeira é empírico-temporal: a pesquisa acompanha a chegada da PNED à escola quando os novos currículos se tornam obrigatórios, a partir de 2026 (BRASIL, 2025a, art. 36). Na revisão sistemática que realizamos (PRISMA 2020), nenhum dos nove estudos reunidos analisa a PNED e nenhum trata de rede municipal de pequeno porte.</w:t>
      </w:r>
    </w:p>
    <w:p>
      <w:pPr>
        <w:spacing w:line="276" w:lineRule="auto" w:after="0"/>
        <w:ind w:firstLine="709"/>
        <w:jc w:val="both"/>
      </w:pPr>
      <w:r>
        <w:t>A segunda é analítico-espacial. Pipa é parte constitutiva do contexto da política: um território marcado pelo turismo, pela circulação de grupos sociais distintos e por experiências desiguais de acesso e participação na cultura digital. Com Santos (1999, p. 18), partimos de que “o território não é uma categoria de análise, a categoria de análise é o território usado”, e, com Massey (2008), o lugar como encontro de trajetórias.</w:t>
      </w:r>
    </w:p>
    <w:p>
      <w:pPr>
        <w:spacing w:line="276" w:lineRule="auto" w:after="0"/>
        <w:ind w:firstLine="709"/>
        <w:jc w:val="both"/>
      </w:pPr>
      <w:r>
        <w:t>A terceira é teórico-conceitual. Com a teoria da atuação, a escola é espaço em que a política é recriada (BALL; MAGUIRE; BRAUN, 2016), e a distância entre o texto normativo e o cotidiano escolar não será tomada antecipadamente como falha, resistência ou inadequação, mas como processo político. A noção de habitar o digital será mobilizada como possibilidade analítica para ler a educação digital para além do acesso a equipamentos e conectividade, considerando usos, experiências, sentidos e formas de participação.</w:t>
      </w:r>
    </w:p>
    <w:p>
      <w:pPr>
        <w:keepNext/>
        <w:spacing w:before="120" w:after="40" w:line="240" w:lineRule="auto"/>
      </w:pPr>
      <w:r>
        <w:rPr>
          <w:b/>
        </w:rPr>
        <w:t>5 REFERENCIAL TEÓRICO-METODOLÓGICO</w:t>
      </w:r>
    </w:p>
    <w:p>
      <w:pPr>
        <w:spacing w:line="276" w:lineRule="auto" w:after="0"/>
        <w:ind w:firstLine="709"/>
        <w:jc w:val="both"/>
      </w:pPr>
      <w:r>
        <w:t>A ACP é a matriz de leitura da PNED: os textos políticos não são simplesmente executados, mas interpretados e recontextualizados (BOWE; BALL; GOLD, 1992), em contextos de influência, de produção do texto e da prática (MAINARDES, 2006). No contexto da prática, a teoria da atuação ou encenação (BALL; MAGUIRE; BRAUN, 2016) mostra como a escola faz política com as condições que possui, e suas quatro dimensões (situacional, culturas profissionais, material e externa) orientam a análise. As culturas profissionais são lidas em seus conteúdos (crenças, valores, hábitos) e em suas formas de relação (HARGREAVES, 2005). A performatividade permite examinar como metas, registros e prestação de contas atravessam o trabalho (BALL, 2004), e as fabricações, quando houver evidência de imagens da escola construídas para avaliação ou apresentação institucional (BALL, 2002). Os direitos das crianças no ambiente digital, em suas dimensões de provisão, proteção e participação (ONU, 2021; BRASIL, 2025b), articulam-se à discussão do que a política produz. Essas categorias orientam o olhar sem funcionar como molduras fechadas.</w:t>
      </w:r>
    </w:p>
    <w:p>
      <w:pPr>
        <w:keepNext/>
        <w:spacing w:before="120" w:after="40" w:line="240" w:lineRule="auto"/>
      </w:pPr>
      <w:r>
        <w:rPr>
          <w:b/>
        </w:rPr>
        <w:t>6 METODOLOGIA: COMO OS DADOS SERÃO CONSTRUÍDOS</w:t>
      </w:r>
    </w:p>
    <w:p>
      <w:pPr>
        <w:spacing w:line="276" w:lineRule="auto" w:after="0"/>
        <w:ind w:firstLine="709"/>
        <w:jc w:val="both"/>
      </w:pPr>
      <w:r>
        <w:t>A pesquisa é qualitativa, pois trabalha com sentidos, valores e crenças (MINAYO, 2009), e se organiza como estudo de caso de um fenômeno contemporâneo em seu contexto real (YIN, 2001). Participarão os profissionais da educação dos anos iniciais que aceitarem o convite (docentes do 1º ao 5º ano, equipe gestora e profissionais ligados às turmas ou à educação digital da escola) e um técnico da Secretaria Municipal de Educação, como fonte complementar sobre o contexto externo, sem constituir um segundo caso. O campo começa após a aprovação do Comitê de Ética e a assinatura do TCLE.</w:t>
      </w:r>
    </w:p>
    <w:p>
      <w:pPr>
        <w:spacing w:line="276" w:lineRule="auto" w:after="0"/>
        <w:ind w:firstLine="709"/>
        <w:jc w:val="both"/>
      </w:pPr>
      <w:r>
        <w:rPr>
          <w:b/>
        </w:rPr>
        <w:t>Passo 1, análise documental:</w:t>
      </w:r>
      <w:r>
        <w:t xml:space="preserve"> legislação, Resolução CNE/CEB nº 2/2025, PPP, planos de aula, atas, registros de formação e documentos da PIEC, lidos com as questões analíticas da ACP (MAINARDES, 2006).</w:t>
      </w:r>
    </w:p>
    <w:p>
      <w:pPr>
        <w:spacing w:line="276" w:lineRule="auto" w:after="0"/>
        <w:ind w:firstLine="709"/>
        <w:jc w:val="both"/>
      </w:pPr>
      <w:r>
        <w:rPr>
          <w:b/>
        </w:rPr>
        <w:t>Passo 2, registro iconográfico:</w:t>
      </w:r>
      <w:r>
        <w:t xml:space="preserve"> imagens da escola e do acervo do Museu Digital de Pipa, já reunidas, lidas com a rugosidade, permanência e coexistência de formas e tempos distintos (SANTOS, 2012), e com o lugar como encontro de trajetórias (MASSEY, 2008); somam-se registros da conectividade e dos espaços de uso de tecnologias.</w:t>
      </w:r>
    </w:p>
    <w:p>
      <w:pPr>
        <w:spacing w:line="276" w:lineRule="auto" w:after="0"/>
        <w:ind w:firstLine="709"/>
        <w:jc w:val="both"/>
      </w:pPr>
      <w:r>
        <w:rPr>
          <w:b/>
        </w:rPr>
        <w:t>Passo 3, questionário de perfil e percepções:</w:t>
      </w:r>
      <w:r>
        <w:t xml:space="preserve"> presencial, em formulário digital, sobre perfil, formação, condições de trabalho e conhecimento da PNED, com função descritiva e preparatória.</w:t>
      </w:r>
    </w:p>
    <w:p>
      <w:pPr>
        <w:spacing w:line="276" w:lineRule="auto" w:after="0"/>
        <w:ind w:firstLine="709"/>
        <w:jc w:val="both"/>
      </w:pPr>
      <w:r>
        <w:rPr>
          <w:b/>
        </w:rPr>
        <w:t>Passo 4, entrevistas semiestruturadas em profundidade:</w:t>
      </w:r>
      <w:r>
        <w:t xml:space="preserve"> com os profissionais da escola, sobre experiências, compreensão da PNED, condições de trabalho, tradução da política, demandas institucionais, território e experiências digitais das crianças; com o técnico da Secretaria, sobre orientações, acompanhamento, formação e condições oferecidas às escolas. Conceitos como resistência ou fabricação não serão apresentados aos participantes.</w:t>
      </w:r>
    </w:p>
    <w:p>
      <w:pPr>
        <w:spacing w:line="276" w:lineRule="auto" w:after="0"/>
        <w:ind w:firstLine="709"/>
        <w:jc w:val="both"/>
      </w:pPr>
      <w:r>
        <w:rPr>
          <w:b/>
        </w:rPr>
        <w:t>Passo 5, análise e devolutiva:</w:t>
      </w:r>
      <w:r>
        <w:t xml:space="preserve"> análise temática reflexiva (BRAUN; CLARKE, 2006, 2019), orientada pelas dimensões do contexto (BALL; MAGUIRE; BRAUN, 2016). Categorias como acomodação, omissão seletiva, tradução para fins locais e fabricação (BALL; MAGUIRE; BRAUN, 2016; BALL, 2002) só serão usadas quando sustentadas pelos dados. A interpretação se faz por triangulação das fontes (YIN, 2001), e a devolutiva à escola integra a responsabilidade ética com o campo.</w:t>
      </w:r>
    </w:p>
    <w:p>
      <w:pPr>
        <w:keepNext/>
        <w:spacing w:before="120" w:after="40" w:line="240" w:lineRule="auto"/>
      </w:pPr>
      <w:r>
        <w:rPr>
          <w:b/>
        </w:rPr>
        <w:t>7 TESE DE PARTIDA</w:t>
      </w:r>
    </w:p>
    <w:p>
      <w:pPr>
        <w:spacing w:line="276" w:lineRule="auto" w:after="0"/>
        <w:ind w:firstLine="709"/>
        <w:jc w:val="both"/>
      </w:pPr>
      <w:r>
        <w:t>A PNED não se realiza na escola por simples aplicação: sua presença no cotidiano resulta de interpretação, tradução e recontextualização, atravessadas pelas condições da escola, pelas culturas profissionais e pelo território (BALL; MAGUIRE; BRAUN, 2016). Essa compreensão não é conclusão antecipada. A pesquisa está aberta a encontrar adesão, acomodação, adaptação, omissão, negociação, ressignificação, resistência ou formas não previstas, e interessa saber em que condições aparecem e o que produzem para os direitos das crianças. A pergunta deixa de ser “a PNED está sendo implementada?” e passa a ser: o que acontece com a PNED quando encontra uma escola, seus profissionais, suas condições e um território específico?</w:t>
      </w:r>
    </w:p>
    <w:p>
      <w:pPr>
        <w:keepNext/>
        <w:spacing w:before="120" w:after="40" w:line="240" w:lineRule="auto"/>
      </w:pPr>
      <w:r>
        <w:rPr>
          <w:b/>
        </w:rPr>
        <w:t>REFERÊNCIAS</w:t>
      </w:r>
    </w:p>
    <w:p>
      <w:pPr>
        <w:spacing w:line="240" w:lineRule="auto" w:after="20"/>
      </w:pPr>
      <w:r>
        <w:rPr>
          <w:sz w:val="18"/>
        </w:rPr>
        <w:t>BALL, S. J. Reformar escolas/reformar professores e os terrores da performatividade. Revista Portuguesa de Educação, Braga, v. 15, n. 2, p. 3-23, 2002.</w:t>
      </w:r>
    </w:p>
    <w:p>
      <w:pPr>
        <w:spacing w:line="240" w:lineRule="auto" w:after="20"/>
      </w:pPr>
      <w:r>
        <w:rPr>
          <w:sz w:val="18"/>
        </w:rPr>
        <w:t>BALL, S. J. Performatividade, privatização e o pós-Estado do bem-estar. Educação &amp; Sociedade, Campinas, v. 25, n. 89, p. 1105-1126, 2004.</w:t>
      </w:r>
    </w:p>
    <w:p>
      <w:pPr>
        <w:spacing w:line="240" w:lineRule="auto" w:after="20"/>
      </w:pPr>
      <w:r>
        <w:rPr>
          <w:sz w:val="18"/>
        </w:rPr>
        <w:t>BALL, S. J.; MAGUIRE, M.; BRAUN, A. Como as escolas fazem as políticas: atuação em escolas secundárias. Ponta Grossa: Editora UEPG, 2016.</w:t>
      </w:r>
    </w:p>
    <w:p>
      <w:pPr>
        <w:spacing w:line="240" w:lineRule="auto" w:after="20"/>
      </w:pPr>
      <w:r>
        <w:rPr>
          <w:sz w:val="18"/>
        </w:rPr>
        <w:t>BOWE, R.; BALL, S. J.; GOLD, A. Reforming education and changing schools. London: Routledge, 1992.</w:t>
      </w:r>
    </w:p>
    <w:p>
      <w:pPr>
        <w:spacing w:line="240" w:lineRule="auto" w:after="20"/>
      </w:pPr>
      <w:r>
        <w:rPr>
          <w:sz w:val="18"/>
        </w:rPr>
        <w:t>BRASIL. Lei nº 14.533, de 11 de janeiro de 2023. Institui a Política Nacional de Educação Digital. Brasília, DF: DOU, 2023.</w:t>
      </w:r>
    </w:p>
    <w:p>
      <w:pPr>
        <w:spacing w:line="240" w:lineRule="auto" w:after="20"/>
      </w:pPr>
      <w:r>
        <w:rPr>
          <w:sz w:val="18"/>
        </w:rPr>
        <w:t>BRASIL. Conselho Nacional de Educação. Câmara de Educação Básica. Resolução CNE/CEB nº 2, de 21 de março de 2025. Brasília, DF: DOU, 2025a.</w:t>
      </w:r>
    </w:p>
    <w:p>
      <w:pPr>
        <w:spacing w:line="240" w:lineRule="auto" w:after="20"/>
      </w:pPr>
      <w:r>
        <w:rPr>
          <w:sz w:val="18"/>
        </w:rPr>
        <w:t>BRASIL. Lei nº 15.211, de 17 de setembro de 2025. Estatuto Digital da Criança e do Adolescente. Brasília, DF: DOU, 2025b.</w:t>
      </w:r>
    </w:p>
    <w:p>
      <w:pPr>
        <w:spacing w:line="240" w:lineRule="auto" w:after="20"/>
      </w:pPr>
      <w:r>
        <w:rPr>
          <w:sz w:val="18"/>
        </w:rPr>
        <w:t>BRAUN, V.; CLARKE, V. Using thematic analysis in psychology. Qualitative Research in Psychology, v. 3, n. 2, p. 77-101, 2006. | Reflecting on reflexive thematic analysis. Qualitative Research in Sport, Exercise and Health, v. 11, n. 4, p. 589-597, 2019.</w:t>
      </w:r>
    </w:p>
    <w:p>
      <w:pPr>
        <w:spacing w:line="240" w:lineRule="auto" w:after="20"/>
      </w:pPr>
      <w:r>
        <w:rPr>
          <w:sz w:val="18"/>
        </w:rPr>
        <w:t>HARGREAVES, A. Profesorado, cultura y postmodernidad: cambian los tiempos, cambia el profesorado. 5. ed. Madrid: Morata, 2005.</w:t>
      </w:r>
    </w:p>
    <w:p>
      <w:pPr>
        <w:spacing w:line="240" w:lineRule="auto" w:after="20"/>
      </w:pPr>
      <w:r>
        <w:rPr>
          <w:sz w:val="18"/>
        </w:rPr>
        <w:t>MAINARDES, J. Abordagem do ciclo de políticas. Educação &amp; Sociedade, Campinas, v. 27, n. 94, p. 47-69, 2006.</w:t>
      </w:r>
    </w:p>
    <w:p>
      <w:pPr>
        <w:spacing w:line="240" w:lineRule="auto" w:after="20"/>
      </w:pPr>
      <w:r>
        <w:rPr>
          <w:sz w:val="18"/>
        </w:rPr>
        <w:t>MASSEY, D. Pelo espaço: uma nova política da espacialidade. Rio de Janeiro: Bertrand Brasil, 2008.</w:t>
      </w:r>
    </w:p>
    <w:p>
      <w:pPr>
        <w:spacing w:line="240" w:lineRule="auto" w:after="20"/>
      </w:pPr>
      <w:r>
        <w:rPr>
          <w:sz w:val="18"/>
        </w:rPr>
        <w:t>MINAYO, M. C. S. (org.). Pesquisa social: teoria, método e criatividade. 28. ed. Petrópolis: Vozes, 2009.</w:t>
      </w:r>
    </w:p>
    <w:p>
      <w:pPr>
        <w:spacing w:line="240" w:lineRule="auto" w:after="20"/>
      </w:pPr>
      <w:r>
        <w:rPr>
          <w:sz w:val="18"/>
        </w:rPr>
        <w:t>ONU. Comitê dos Direitos da Criança. Comentário Geral nº 25 (2021). CRC/C/GC/25. Genebra: ONU, 2021.</w:t>
      </w:r>
    </w:p>
    <w:p>
      <w:pPr>
        <w:spacing w:line="240" w:lineRule="auto" w:after="20"/>
      </w:pPr>
      <w:r>
        <w:rPr>
          <w:sz w:val="18"/>
        </w:rPr>
        <w:t>SANTOS, M. O território e o saber local. Cadernos IPPUR, ano 13, n. 2, p. 15-26, 1999. | Espaço e método. 5. ed. São Paulo: Edusp, 2012.</w:t>
      </w:r>
    </w:p>
    <w:p>
      <w:pPr>
        <w:spacing w:line="240" w:lineRule="auto" w:after="20"/>
      </w:pPr>
      <w:r>
        <w:rPr>
          <w:sz w:val="18"/>
        </w:rPr>
        <w:t>YIN, R. K. Estudo de caso: planejamento e métodos. 2. ed. Porto Alegre: Bookman, 2001.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