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(c) e (d) da tese e informa o objetivo (b), todos respondidos no contexto da prática, e termina com uma síntese do que essa leitura leva para a investigação. Nossa leitura parte de uma posição explícita: a PNED amplia o que se exige das escolas sem assegurar, na mesma medida, os meios para cumprir essas exigências, e o capítulo mostra onde essa distância se inscreve no texto. No fim dessa cadeia de decisões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8"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8"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8"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8"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8"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8"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8"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nos anos iniciais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8"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rtl w:val="0"/>
        </w:rPr>
        <w:t xml:space="preserve">, mas servem</w:t>
      </w:r>
      <w:r>
        <w:rPr>
          <w:rtl w:val="0"/>
        </w:rPr>
        <w:t xml:space="preserve"> de lente para compreender o trabalho dos </w:t>
      </w:r>
      <w:r>
        <w:rPr>
          <w:rtl w:val="0"/>
        </w:rPr>
        <w:t xml:space="preserve">profissionais da escola</w:t>
      </w:r>
      <w:r>
        <w:rPr>
          <w:rtl w:val="0"/>
        </w:rPr>
        <w:t xml:space="preserve">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8"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passa a ser tratado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8"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nos anos iniciais, do 1º ao 5º ano.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rtl w:val="0"/>
        </w:rPr>
        <w:t xml:space="preserve">Partimos da compreensão de</w:t>
      </w:r>
      <w:r>
        <w:rPr>
          <w:rtl w:val="0"/>
        </w:rPr>
        <w:t xml:space="preserve"> que, quando parte das condições não chega, a decisão sobre como a política se realiza se desloca para os profissionais da escola, que </w:t>
      </w:r>
      <w:r>
        <w:rPr>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3"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rtl w:val="0"/>
        </w:rPr>
        <w:t xml:space="preserve">aos profissionais dos anos iniciais</w:t>
      </w:r>
      <w:r>
        <w:rPr>
          <w:rtl w:val="0"/>
        </w:rPr>
        <w:t xml:space="preserve"> o ensino de pensamento computacional e de direitos digitais a crianças de seis </w:t>
      </w:r>
      <w:r>
        <w:rPr>
          <w:rtl w:val="0"/>
        </w:rPr>
        <w:t xml:space="preserve">a dez</w:t>
      </w:r>
      <w:r>
        <w:rPr>
          <w:rtl w:val="0"/>
        </w:rPr>
        <w:t xml:space="preserve"> anos sem garantia de formação prévia nesses conteúdos. Não avaliamos o saber </w:t>
      </w:r>
      <w:r>
        <w:rPr>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(a),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os profissionais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(b),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o Capítulo 6 documenta em que condições a escola de Pipa os espera.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(c),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(a):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possibilidade de vazio material numa rede pequena;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de aquisição, conectividade e PIEC; dados fiscais do município; questionário (Bloco 3); entrevista (Eixo 3)</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(b)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questionário (Bloco 2); entrevista (Eixo 1)</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(c):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(c) e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1"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os profissionais da escola produzirão sentidos, e é com ele que as formas de atuação produzidas na escola serão comparadas no Capítulo 7. Antes disso, o Capítulo 6 caracteriza o território de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