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como em muitos municípios de pequeno porte,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foi vila de pescadores e se transformou, a partir dos anos 1990, em destino turístico internacional, é hoje marcado pelo turismo, pela circulação de grupos sociais muito diferentes e por experiências desiguais de acesso, de uso e de participação na cultura digital.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compreende o espaço como a esfera da coexistência e da multiplicidade, feita de relações e de trajetórias que se encontram sem formar uma unidade homogênea, e pensa o lugar como encontro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i/>
          <w:lang w:val="pt-BR"/>
        </w:rPr>
        <w:t>Pensando o espaço do homem</w:t>
      </w:r>
      <w:r w:rsidRPr="002A5A49">
        <w:rPr>
          <w:lang w:val="pt-BR"/>
        </w:rPr>
        <w:t>, Santos (2004) reforça essa leitura ao tratar o espaço como acumulação desigual de tempos.</w:t>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O distrito que foi vila de pescadores passou a receber, a partir dos anos 1990, o turismo ligado ao surfe, investimentos imobiliários nacionais e estrangeiros, trabalhadores atraídos pelo setor de serviços e, mais recentemente, pessoas que trabalham remotamente para empresas sediadas em outros lugares.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o habitar é tomado em sentido mais amplo que o de morar ou permanecer num lugar e aproxima-se da ideia de estar presente. Ele aparece como experiência relacional, constituída pelas relações entre sujeitos, ambientes, tecnologias e redes.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Com as redes digitais, o autor descreve um habitar atópico, em que a experiência </w:t>
      </w:r>
      <w:proofErr w:type="spellStart"/>
      <w:r w:rsidRPr="002A5A49">
        <w:rPr>
          <w:lang w:val="pt-BR"/>
        </w:rPr>
        <w:t>habitativa</w:t>
      </w:r>
      <w:proofErr w:type="spellEnd"/>
      <w:r w:rsidRPr="002A5A49">
        <w:rPr>
          <w:lang w:val="pt-BR"/>
        </w:rPr>
        <w:t xml:space="preserve"> passa a envolver interfaces, fluxos informativos e relações que não se reduzem ao espaço físico.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número de participantes por função será definido com a escola </w:t>
      </w:r>
      <w:r w:rsidR="002A5A49" w:rsidRPr="002A5A49">
        <w:rPr>
          <w:color w:val="EE0000"/>
          <w:lang w:val="pt-BR"/>
        </w:rPr>
        <w:t xml:space="preserve">(estou pegando o </w:t>
      </w:r>
      <w:proofErr w:type="spellStart"/>
      <w:r w:rsidR="002A5A49" w:rsidRPr="002A5A49">
        <w:rPr>
          <w:color w:val="EE0000"/>
          <w:lang w:val="pt-BR"/>
        </w:rPr>
        <w:t>relatorio</w:t>
      </w:r>
      <w:proofErr w:type="spellEnd"/>
      <w:r w:rsidR="002A5A49" w:rsidRPr="002A5A49">
        <w:rPr>
          <w:color w:val="EE0000"/>
          <w:lang w:val="pt-BR"/>
        </w:rPr>
        <w:t xml:space="preserve"> completo com o Diretor)</w:t>
      </w:r>
    </w:p>
    <w:p w14:paraId="5BC529D3" w14:textId="77777777" w:rsidR="00273572" w:rsidRPr="002A5A49" w:rsidRDefault="00000000" w:rsidP="002A5A49">
      <w:pPr>
        <w:spacing w:after="0" w:line="360" w:lineRule="auto"/>
        <w:ind w:firstLine="709"/>
        <w:jc w:val="both"/>
        <w:rPr>
          <w:lang w:val="pt-BR"/>
        </w:rPr>
      </w:pPr>
      <w:r w:rsidRPr="002A5A49">
        <w:rPr>
          <w:lang w:val="pt-BR"/>
        </w:rPr>
        <w:t>Participará também um técnico da Secretaria Municipal de Educação responsável pelas ações, orientações ou pelo acompanhamento da educação digital no município.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600125D9"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Pensando o espaço do homem</w:t>
      </w:r>
      <w:r w:rsidRPr="002A5A49">
        <w:rPr>
          <w:lang w:val="pt-BR"/>
        </w:rPr>
        <w:t>. 5. ed. São Paulo: Editora da Universidade de São Paulo, 2004.</w:t>
      </w:r>
    </w:p>
    <w:p w14:paraId="64D46F09"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