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(31 lâminas, das quais as duas últimas são de referências) · Duração prevista: 25 minutos</w:t>
      </w:r>
    </w:p>
    <w:p>
      <w:pPr>
        <w:pStyle w:val="Heading1"/>
      </w:pPr>
      <w:r>
        <w:t>Como usar este roteiro</w:t>
      </w:r>
    </w:p>
    <w:p>
      <w:pPr>
        <w:pStyle w:val="ListBullet"/>
      </w:pPr>
      <w:r>
        <w:t>O texto tem 2961 palavras, o que dá cerca de 24 minutos de fala a 125 palavras por minuto, ritmo pausado. Os 1 minutos restantes ficam para as trocas de lâmina, as pausas e o tempo de apontar fotos e mapa. Se o ensaio cronometrado der mais de 26 minutos, use os cortes sugeridos no fim do documento.</w:t>
      </w:r>
    </w:p>
    <w:p>
      <w:pPr>
        <w:pStyle w:val="ListBullet"/>
      </w:pPr>
      <w:r>
        <w:t>Cada lâmina traz o tempo previsto e o tempo acumulado ao final dela. Os três pontos de controle mais úteis são: fim da lâmina 11 por volta de 09:40, fim da lâmina 18 por volta de 16:00 e fim da lâmina 26 por volta de 22:25.</w:t>
      </w:r>
    </w:p>
    <w:p>
      <w:pPr>
        <w:pStyle w:val="ListBullet"/>
      </w:pPr>
      <w:r>
        <w:t>As frases em itálico entre colchetes são indicações de cena e não devem ser lidas.</w:t>
      </w:r>
    </w:p>
    <w:p>
      <w:pPr>
        <w:pStyle w:val="ListBullet"/>
      </w:pPr>
      <w:r>
        <w:t>As citações foram mantidas como estão nos capítulos. Na fala, a referência pode ser feita pelo nome do autor, já que ano e página aparecem na lâmina.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Lâminas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351"/>
          </w:tcPr>
          <w:p>
            <w:r>
              <w:t>Abertura</w:t>
            </w:r>
          </w:p>
        </w:tc>
        <w:tc>
          <w:tcPr>
            <w:tcW w:type="dxa" w:w="2351"/>
          </w:tcPr>
          <w:p>
            <w:r>
              <w:t>1-2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</w:tr>
      <w:tr>
        <w:tc>
          <w:tcPr>
            <w:tcW w:type="dxa" w:w="2351"/>
          </w:tcPr>
          <w:p>
            <w:r>
              <w:t>Objeto, questão, objetivos e relevâncias</w:t>
            </w:r>
          </w:p>
        </w:tc>
        <w:tc>
          <w:tcPr>
            <w:tcW w:type="dxa" w:w="2351"/>
          </w:tcPr>
          <w:p>
            <w:r>
              <w:t>3-8</w:t>
            </w:r>
          </w:p>
        </w:tc>
        <w:tc>
          <w:tcPr>
            <w:tcW w:type="dxa" w:w="2351"/>
          </w:tcPr>
          <w:p>
            <w:r>
              <w:t>06:25</w:t>
            </w:r>
          </w:p>
        </w:tc>
        <w:tc>
          <w:tcPr>
            <w:tcW w:type="dxa" w:w="2351"/>
          </w:tcPr>
          <w:p>
            <w:r>
              <w:t>07:20</w:t>
            </w:r>
          </w:p>
        </w:tc>
      </w:tr>
      <w:tr>
        <w:tc>
          <w:tcPr>
            <w:tcW w:type="dxa" w:w="2351"/>
          </w:tcPr>
          <w:p>
            <w:r>
              <w:t>Revisão sistemática</w:t>
            </w:r>
          </w:p>
        </w:tc>
        <w:tc>
          <w:tcPr>
            <w:tcW w:type="dxa" w:w="2351"/>
          </w:tcPr>
          <w:p>
            <w:r>
              <w:t>9-11</w:t>
            </w:r>
          </w:p>
        </w:tc>
        <w:tc>
          <w:tcPr>
            <w:tcW w:type="dxa" w:w="2351"/>
          </w:tcPr>
          <w:p>
            <w:r>
              <w:t>02:20</w:t>
            </w:r>
          </w:p>
        </w:tc>
        <w:tc>
          <w:tcPr>
            <w:tcW w:type="dxa" w:w="2351"/>
          </w:tcPr>
          <w:p>
            <w:r>
              <w:t>09:40</w:t>
            </w:r>
          </w:p>
        </w:tc>
      </w:tr>
      <w:tr>
        <w:tc>
          <w:tcPr>
            <w:tcW w:type="dxa" w:w="2351"/>
          </w:tcPr>
          <w:p>
            <w:r>
              <w:t>Fundamentos teóricos</w:t>
            </w:r>
          </w:p>
        </w:tc>
        <w:tc>
          <w:tcPr>
            <w:tcW w:type="dxa" w:w="2351"/>
          </w:tcPr>
          <w:p>
            <w:r>
              <w:t>12-15</w:t>
            </w:r>
          </w:p>
        </w:tc>
        <w:tc>
          <w:tcPr>
            <w:tcW w:type="dxa" w:w="2351"/>
          </w:tcPr>
          <w:p>
            <w:r>
              <w:t>04:10</w:t>
            </w:r>
          </w:p>
        </w:tc>
        <w:tc>
          <w:tcPr>
            <w:tcW w:type="dxa" w:w="2351"/>
          </w:tcPr>
          <w:p>
            <w:r>
              <w:t>13:50</w:t>
            </w:r>
          </w:p>
        </w:tc>
      </w:tr>
      <w:tr>
        <w:tc>
          <w:tcPr>
            <w:tcW w:type="dxa" w:w="2351"/>
          </w:tcPr>
          <w:p>
            <w:r>
              <w:t>Metodologia</w:t>
            </w:r>
          </w:p>
        </w:tc>
        <w:tc>
          <w:tcPr>
            <w:tcW w:type="dxa" w:w="2351"/>
          </w:tcPr>
          <w:p>
            <w:r>
              <w:t>16-18</w:t>
            </w:r>
          </w:p>
        </w:tc>
        <w:tc>
          <w:tcPr>
            <w:tcW w:type="dxa" w:w="2351"/>
          </w:tcPr>
          <w:p>
            <w:r>
              <w:t>02:10</w:t>
            </w:r>
          </w:p>
        </w:tc>
        <w:tc>
          <w:tcPr>
            <w:tcW w:type="dxa" w:w="2351"/>
          </w:tcPr>
          <w:p>
            <w:r>
              <w:t>16:00</w:t>
            </w:r>
          </w:p>
        </w:tc>
      </w:tr>
      <w:tr>
        <w:tc>
          <w:tcPr>
            <w:tcW w:type="dxa" w:w="2351"/>
          </w:tcPr>
          <w:p>
            <w:r>
              <w:t>Agenda global e PNED</w:t>
            </w:r>
          </w:p>
        </w:tc>
        <w:tc>
          <w:tcPr>
            <w:tcW w:type="dxa" w:w="2351"/>
          </w:tcPr>
          <w:p>
            <w:r>
              <w:t>19-22</w:t>
            </w:r>
          </w:p>
        </w:tc>
        <w:tc>
          <w:tcPr>
            <w:tcW w:type="dxa" w:w="2351"/>
          </w:tcPr>
          <w:p>
            <w:r>
              <w:t>03:30</w:t>
            </w:r>
          </w:p>
        </w:tc>
        <w:tc>
          <w:tcPr>
            <w:tcW w:type="dxa" w:w="2351"/>
          </w:tcPr>
          <w:p>
            <w:r>
              <w:t>19:30</w:t>
            </w:r>
          </w:p>
        </w:tc>
      </w:tr>
      <w:tr>
        <w:tc>
          <w:tcPr>
            <w:tcW w:type="dxa" w:w="2351"/>
          </w:tcPr>
          <w:p>
            <w:r>
              <w:t>Do município à escola</w:t>
            </w:r>
          </w:p>
        </w:tc>
        <w:tc>
          <w:tcPr>
            <w:tcW w:type="dxa" w:w="2351"/>
          </w:tcPr>
          <w:p>
            <w:r>
              <w:t>23-26</w:t>
            </w:r>
          </w:p>
        </w:tc>
        <w:tc>
          <w:tcPr>
            <w:tcW w:type="dxa" w:w="2351"/>
          </w:tcPr>
          <w:p>
            <w:r>
              <w:t>02:55</w:t>
            </w:r>
          </w:p>
        </w:tc>
        <w:tc>
          <w:tcPr>
            <w:tcW w:type="dxa" w:w="2351"/>
          </w:tcPr>
          <w:p>
            <w:r>
              <w:t>22:25</w:t>
            </w:r>
          </w:p>
        </w:tc>
      </w:tr>
      <w:tr>
        <w:tc>
          <w:tcPr>
            <w:tcW w:type="dxa" w:w="2351"/>
          </w:tcPr>
          <w:p>
            <w:r>
              <w:t>Tese e encerramento</w:t>
            </w:r>
          </w:p>
        </w:tc>
        <w:tc>
          <w:tcPr>
            <w:tcW w:type="dxa" w:w="2351"/>
          </w:tcPr>
          <w:p>
            <w:r>
              <w:t>27-29</w:t>
            </w:r>
          </w:p>
        </w:tc>
        <w:tc>
          <w:tcPr>
            <w:tcW w:type="dxa" w:w="2351"/>
          </w:tcPr>
          <w:p>
            <w:r>
              <w:t>02:35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>
              <w:t>Referências</w:t>
            </w:r>
          </w:p>
        </w:tc>
        <w:tc>
          <w:tcPr>
            <w:tcW w:type="dxa" w:w="2351"/>
          </w:tcPr>
          <w:p>
            <w:r>
              <w:t>30-31</w:t>
            </w:r>
          </w:p>
        </w:tc>
        <w:tc>
          <w:tcPr>
            <w:tcW w:type="dxa" w:w="2351"/>
          </w:tcPr>
          <w:p>
            <w:r>
              <w:t>00:00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1-31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Fala, lâmina por lâmina</w:t>
      </w:r>
    </w:p>
    <w:p>
      <w:pPr>
        <w:pStyle w:val="Heading1"/>
      </w:pPr>
      <w:r>
        <w:t>ABERTURA</w:t>
      </w:r>
    </w:p>
    <w:p>
      <w:pPr>
        <w:pStyle w:val="Heading2"/>
      </w:pPr>
      <w:r>
        <w:t>Lâmina 1 · Capa</w:t>
      </w:r>
    </w:p>
    <w:p>
      <w:r>
        <w:rPr>
          <w:color w:val="666666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p>
      <w:pPr>
        <w:jc w:val="both"/>
      </w:pPr>
      <w:r>
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</w:r>
    </w:p>
    <w:p>
      <w:pPr>
        <w:pStyle w:val="Heading2"/>
      </w:pPr>
      <w:r>
        <w:t>Lâmina 2 · Roteiro</w:t>
      </w:r>
    </w:p>
    <w:p>
      <w:r>
        <w:rPr>
          <w:color w:val="666666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p>
      <w:pPr>
        <w:jc w:val="both"/>
      </w:pPr>
      <w:r>
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Lâmina 3 · Objeto</w:t>
      </w:r>
    </w:p>
    <w:p>
      <w:r>
        <w:rPr>
          <w:color w:val="666666"/>
          <w:sz w:val="20"/>
        </w:rPr>
        <w:t>70 s  ·  ao final: 02:05</w:t>
      </w:r>
    </w:p>
    <w:p>
      <w:pPr>
        <w:jc w:val="both"/>
      </w:pPr>
      <w:r>
        <w:t>O objeto desta tese é a Política Nacional de Educação Digital, instituída pela Lei nº 14.533, de 2023, no eixo que chega às escolas, a Educação Digital Escolar. Acompanho essa política em forma de funil. Ela começa na Secretaria Municipal de Educação de Tibau do Sul, que a recebe e a traduz para uma rede de escolas situadas em localidades muito diferentes, e chega à Escola Municipal Domitila Castelo da Silva, em Pipa. Ali, os profissionais da educação dos anos iniciais a interpretam, traduzem e recontextualizam: professoras e professores, coordenação, direção e apoio pedagógico. Trabalho com a ideia de Ball, Maguire e Braun de que as atuações são coletivas, criativas e limitadas.</w:t>
      </w:r>
    </w:p>
    <w:p>
      <w:pPr>
        <w:pStyle w:val="Heading2"/>
      </w:pPr>
      <w:r>
        <w:t>Lâmina 4 · Questão de pesquisa</w:t>
      </w:r>
    </w:p>
    <w:p>
      <w:r>
        <w:rPr>
          <w:color w:val="666666"/>
          <w:sz w:val="20"/>
        </w:rPr>
        <w:t>65 s  ·  ao final: 03:10</w:t>
      </w:r>
    </w:p>
    <w:p>
      <w:r>
        <w:rPr>
          <w:i/>
          <w:color w:val="555555"/>
        </w:rPr>
        <w:t>[Ler a pergunta devagar, acompanhando a lâmina. Pausa antes da última frase.]</w:t>
      </w:r>
    </w:p>
    <w:p>
      <w:pPr>
        <w:jc w:val="both"/>
      </w:pPr>
      <w:r>
        <w:t>Daí a questão que orienta a pesquisa. Como a Política Nacional de Educação Digital é recontextualizada pela Secretaria Municipal de Educação de Tibau do Sul, num território que reúne áreas urbanas e rurais, povoados com realidades distintas e uma comunidade quilombola, e como essa recontextualização chega à Escola Municipal Domitila Castelo da Silva, em Pipa, onde os profissionais a encenam, atravessados pelas culturas profissionais, pelas condições materiais e institucionais da escola e pelas especificidades do lugar? Ainda não sabemos se a PNED será acolhida, adaptada, posta de lado ou contestada. A resistência, que está no título, é uma possibilidade a examinar nos dados.</w:t>
      </w:r>
    </w:p>
    <w:p>
      <w:pPr>
        <w:pStyle w:val="Heading2"/>
      </w:pPr>
      <w:r>
        <w:t>Lâmina 5 · Objetivos</w:t>
      </w:r>
    </w:p>
    <w:p>
      <w:r>
        <w:rPr>
          <w:color w:val="666666"/>
          <w:sz w:val="20"/>
        </w:rPr>
        <w:t>95 s  ·  ao final: 04:45</w:t>
      </w:r>
    </w:p>
    <w:p>
      <w:r>
        <w:rPr>
          <w:i/>
          <w:color w:val="555555"/>
        </w:rPr>
        <w:t>[Cada cartão tem um rótulo: rede municipal, interpretação, condições e território, formas de atuação e crianças. Destacar os verbos: analisar, compreender, examinar, identificar.]</w:t>
      </w:r>
    </w:p>
    <w:p>
      <w:pPr>
        <w:jc w:val="both"/>
      </w:pPr>
      <w:r>
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primeiro, na rede municipal, é analisar a recontextualização da PNED pela Secretaria em planos, currículos, formações e orientações, considerando as especificidades das localidades, entre elas as áreas rurais e a comunidade quilombola de Sibaúma.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</w:r>
    </w:p>
    <w:p>
      <w:pPr>
        <w:pStyle w:val="Heading2"/>
      </w:pPr>
      <w:r>
        <w:t>Lâmina 6 · Por que agora?</w:t>
      </w:r>
    </w:p>
    <w:p>
      <w:r>
        <w:rPr>
          <w:color w:val="666666"/>
          <w:sz w:val="20"/>
        </w:rPr>
        <w:t>50 s  ·  ao final: 05:35</w:t>
      </w:r>
    </w:p>
    <w:p>
      <w:r>
        <w:rPr>
          <w:i/>
          <w:color w:val="555555"/>
        </w:rPr>
        <w:t>[Percorrer os cartões da esquerda para a direita e terminar no cartão claro, "2026".]</w:t>
      </w:r>
    </w:p>
    <w:p>
      <w:pPr>
        <w:jc w:val="both"/>
      </w:pPr>
      <w:r>
        <w:t>Por que pesquisar isso agora? A linha do tempo responde. Em janeiro de 2023, a lei institui a PNED. Em dezembro, com a derrubada do veto, a educação digital passa a ser componente curricular do ensino fundamental. Em março de 2025, a Resolução CNE/CEB nº 2 prevê a implementação curricular a partir de 2026. Em março de 2026 entra em vigor o Estatuto Digital da Criança e do Adolescente, e em abril é aprovado o novo Plano Nacional de Educação. A pesquisa acontece quando essas normas começam a chegar juntas às escolas. Como lembram Bowe, Ball e Gold, no contexto da prática a política está sujeita à interpretação e é recriada.</w:t>
      </w:r>
    </w:p>
    <w:p>
      <w:pPr>
        <w:pStyle w:val="Heading2"/>
      </w:pPr>
      <w:r>
        <w:t>Lâmina 7 · Relevâncias da pesquisa</w:t>
      </w:r>
    </w:p>
    <w:p>
      <w:r>
        <w:rPr>
          <w:color w:val="666666"/>
          <w:sz w:val="20"/>
        </w:rPr>
        <w:t>60 s  ·  ao final: 06:35</w:t>
      </w:r>
    </w:p>
    <w:p>
      <w:pPr>
        <w:jc w:val="both"/>
      </w:pPr>
      <w:r>
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diferenças.</w:t>
      </w:r>
    </w:p>
    <w:p>
      <w:pPr>
        <w:pStyle w:val="Heading2"/>
      </w:pPr>
      <w:r>
        <w:t>Lâmina 8 · Ineditismo</w:t>
      </w:r>
    </w:p>
    <w:p>
      <w:r>
        <w:rPr>
          <w:color w:val="666666"/>
          <w:sz w:val="20"/>
        </w:rPr>
        <w:t>45 s  ·  ao final: 07:20</w:t>
      </w:r>
    </w:p>
    <w:p>
      <w:pPr>
        <w:jc w:val="both"/>
      </w:pPr>
      <w:r>
        <w:t>O ineditismo aparece em três planos. No empírico-temporal, acompanhamos a chegada da PNED da Secretaria à escola enquanto ela acontece: nenhum dos nove estudos da revisão examina essa política ou uma rede municipal de pequeno porte. No analítico-espacial, o território municipal, de Tibau do Sul a Pipa, entra como parte do contexto, lido com Milton Santos e com Doreen Massey. No teórico-conceitual, articulamos atuação, culturas profissionais, materialidade e território, e daí nasce a formulação habitar o digital.</w:t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Lâmina 9 · Divisor: Revisão sistemática</w:t>
      </w:r>
    </w:p>
    <w:p>
      <w:r>
        <w:rPr>
          <w:color w:val="666666"/>
          <w:sz w:val="20"/>
        </w:rPr>
        <w:t>10 s  ·  ao final: 07:30</w:t>
      </w:r>
    </w:p>
    <w:p>
      <w:pPr>
        <w:jc w:val="both"/>
      </w:pPr>
      <w:r>
        <w:t>Passo agora ao segundo capítulo, a revisão sistemática da literatura.</w:t>
      </w:r>
    </w:p>
    <w:p>
      <w:pPr>
        <w:pStyle w:val="Heading2"/>
      </w:pPr>
      <w:r>
        <w:t>Lâmina 10 · Percurso e respostas da revisão</w:t>
      </w:r>
    </w:p>
    <w:p>
      <w:r>
        <w:rPr>
          <w:color w:val="666666"/>
          <w:sz w:val="20"/>
        </w:rPr>
        <w:t>50 s  ·  ao final: 08:20</w:t>
      </w:r>
    </w:p>
    <w:p>
      <w:pPr>
        <w:jc w:val="both"/>
      </w:pPr>
      <w:r>
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</w:r>
    </w:p>
    <w:p>
      <w:pPr>
        <w:pStyle w:val="Heading2"/>
      </w:pPr>
      <w:r>
        <w:t>Lâmina 11 · O que a revisão decidiu</w:t>
      </w:r>
    </w:p>
    <w:p>
      <w:r>
        <w:rPr>
          <w:color w:val="666666"/>
          <w:sz w:val="20"/>
        </w:rPr>
        <w:t>80 s  ·  ao final: 09:40</w:t>
      </w:r>
    </w:p>
    <w:p>
      <w:r>
        <w:rPr>
          <w:i/>
          <w:color w:val="555555"/>
        </w:rPr>
        <w:t>[Ler cada linha da esquerda para a direita, seguindo a seta.]</w:t>
      </w:r>
    </w:p>
    <w:p>
      <w:pPr>
        <w:jc w:val="both"/>
      </w:pPr>
      <w:r>
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da Secretaria de Tibau do Sul à escola.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Lâmina 12 · Divisor: Fundamentos teóricos</w:t>
      </w:r>
    </w:p>
    <w:p>
      <w:r>
        <w:rPr>
          <w:color w:val="666666"/>
          <w:sz w:val="20"/>
        </w:rPr>
        <w:t>10 s  ·  ao final: 09:50</w:t>
      </w:r>
    </w:p>
    <w:p>
      <w:pPr>
        <w:jc w:val="both"/>
      </w:pPr>
      <w:r>
        <w:t>Com essas escolhas feitas, passo aos fundamentos teóricos, que acompanham a política do texto ao ato.</w:t>
      </w:r>
    </w:p>
    <w:p>
      <w:pPr>
        <w:pStyle w:val="Heading2"/>
      </w:pPr>
      <w:r>
        <w:t>Lâmina 13 · Do texto ao ato</w:t>
      </w:r>
    </w:p>
    <w:p>
      <w:r>
        <w:rPr>
          <w:color w:val="666666"/>
          <w:sz w:val="20"/>
        </w:rPr>
        <w:t>80 s  ·  ao final: 11:10</w:t>
      </w:r>
    </w:p>
    <w:p>
      <w:r>
        <w:rPr>
          <w:i/>
          <w:color w:val="555555"/>
        </w:rPr>
        <w:t>[Seguir as setas: influência, produção do texto, prática.]</w:t>
      </w:r>
    </w:p>
    <w:p>
      <w:pPr>
        <w:jc w:val="both"/>
      </w:pPr>
      <w:r>
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</w:r>
    </w:p>
    <w:p>
      <w:pPr>
        <w:pStyle w:val="Heading2"/>
      </w:pPr>
      <w:r>
        <w:t>Lâmina 14 · No contexto da prática</w:t>
      </w:r>
    </w:p>
    <w:p>
      <w:r>
        <w:rPr>
          <w:color w:val="666666"/>
          <w:sz w:val="20"/>
        </w:rPr>
        <w:t>80 s  ·  ao final: 12:30</w:t>
      </w:r>
    </w:p>
    <w:p>
      <w:pPr>
        <w:jc w:val="both"/>
      </w:pPr>
      <w:r>
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</w:r>
    </w:p>
    <w:p>
      <w:pPr>
        <w:pStyle w:val="Heading2"/>
      </w:pPr>
      <w:r>
        <w:t>Lâmina 15 · Onde a política é posta em ato</w:t>
      </w:r>
    </w:p>
    <w:p>
      <w:r>
        <w:rPr>
          <w:color w:val="666666"/>
          <w:sz w:val="20"/>
        </w:rPr>
        <w:t>80 s  ·  ao final: 13:50</w:t>
      </w:r>
    </w:p>
    <w:p>
      <w:r>
        <w:rPr>
          <w:i/>
          <w:color w:val="555555"/>
        </w:rPr>
        <w:t>[Ler devagar a definição no cartão da direita.]</w:t>
      </w:r>
    </w:p>
    <w:p>
      <w:pPr>
        <w:jc w:val="both"/>
      </w:pPr>
      <w:r>
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</w:r>
    </w:p>
    <w:p>
      <w:pPr>
        <w:pStyle w:val="Heading1"/>
      </w:pPr>
      <w:r>
        <w:t>METODOLOGIA</w:t>
      </w:r>
    </w:p>
    <w:p>
      <w:pPr>
        <w:pStyle w:val="Heading2"/>
      </w:pPr>
      <w:r>
        <w:t>Lâmina 16 · Divisor: Metodologia</w:t>
      </w:r>
    </w:p>
    <w:p>
      <w:r>
        <w:rPr>
          <w:color w:val="666666"/>
          <w:sz w:val="20"/>
        </w:rPr>
        <w:t>10 s  ·  ao final: 14:00</w:t>
      </w:r>
    </w:p>
    <w:p>
      <w:pPr>
        <w:jc w:val="both"/>
      </w:pPr>
      <w:r>
        <w:t>Vejamos como esse quadro se converte em procedimentos, no capítulo 4.</w:t>
      </w:r>
    </w:p>
    <w:p>
      <w:pPr>
        <w:pStyle w:val="Heading2"/>
      </w:pPr>
      <w:r>
        <w:t>Lâmina 17 · Desenho e participantes</w:t>
      </w:r>
    </w:p>
    <w:p>
      <w:r>
        <w:rPr>
          <w:color w:val="666666"/>
          <w:sz w:val="20"/>
        </w:rPr>
        <w:t>60 s  ·  ao final: 15:00</w:t>
      </w:r>
    </w:p>
    <w:p>
      <w:pPr>
        <w:jc w:val="both"/>
      </w:pPr>
      <w:r>
        <w:t>A pesquisa é qualitativa e interpretativa, como a define Minayo, e se organiza como estudo de caso único com unidades incorporadas, nos termos de Yin: o caso é a encenação da PNED na rede de Tibau do Sul, e as unidades são a Secretaria e a escola. A análise parte da rede e do território municipal e se estreita até a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</w:r>
    </w:p>
    <w:p>
      <w:pPr>
        <w:pStyle w:val="Heading2"/>
      </w:pPr>
      <w:r>
        <w:t>Lâmina 18 · Construção dos dados</w:t>
      </w:r>
    </w:p>
    <w:p>
      <w:r>
        <w:rPr>
          <w:color w:val="666666"/>
          <w:sz w:val="20"/>
        </w:rPr>
        <w:t>60 s  ·  ao final: 16:00</w:t>
      </w:r>
    </w:p>
    <w:p>
      <w:pPr>
        <w:jc w:val="both"/>
      </w:pPr>
      <w:r>
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</w:r>
    </w:p>
    <w:p>
      <w:pPr>
        <w:pStyle w:val="Heading1"/>
      </w:pPr>
      <w:r>
        <w:t>AGENDA GLOBAL E PNED</w:t>
      </w:r>
    </w:p>
    <w:p>
      <w:pPr>
        <w:pStyle w:val="Heading2"/>
      </w:pPr>
      <w:r>
        <w:t>Lâmina 19 · Divisor: Agenda global e PNED</w:t>
      </w:r>
    </w:p>
    <w:p>
      <w:r>
        <w:rPr>
          <w:color w:val="666666"/>
          <w:sz w:val="20"/>
        </w:rPr>
        <w:t>10 s  ·  ao final: 16:10</w:t>
      </w:r>
    </w:p>
    <w:p>
      <w:pPr>
        <w:jc w:val="both"/>
      </w:pPr>
      <w:r>
        <w:t>O capítulo 5 lê os contextos de influência e de produção do texto.</w:t>
      </w:r>
    </w:p>
    <w:p>
      <w:pPr>
        <w:pStyle w:val="Heading2"/>
      </w:pPr>
      <w:r>
        <w:t>Lâmina 20 · O que outros territórios nos ensinam</w:t>
      </w:r>
    </w:p>
    <w:p>
      <w:r>
        <w:rPr>
          <w:color w:val="666666"/>
          <w:sz w:val="20"/>
        </w:rPr>
        <w:t>65 s  ·  ao final: 17:15</w:t>
      </w:r>
    </w:p>
    <w:p>
      <w:r>
        <w:rPr>
          <w:i/>
          <w:color w:val="555555"/>
        </w:rPr>
        <w:t>[Apontar no mapa cada país citado; não ler a lista inteira.]</w:t>
      </w:r>
    </w:p>
    <w:p>
      <w:pPr>
        <w:jc w:val="both"/>
      </w:pPr>
      <w:r>
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</w:r>
    </w:p>
    <w:p>
      <w:pPr>
        <w:pStyle w:val="Heading2"/>
      </w:pPr>
      <w:r>
        <w:t>Lâmina 21 · O que a comparação traz para a tese</w:t>
      </w:r>
    </w:p>
    <w:p>
      <w:r>
        <w:rPr>
          <w:color w:val="666666"/>
          <w:sz w:val="20"/>
        </w:rPr>
        <w:t>65 s  ·  ao final: 18:20</w:t>
      </w:r>
    </w:p>
    <w:p>
      <w:r>
        <w:rPr>
          <w:i/>
          <w:color w:val="555555"/>
        </w:rPr>
        <w:t>[As cores dos cartões são as mesmas do mapa.]</w:t>
      </w:r>
    </w:p>
    <w:p>
      <w:pPr>
        <w:jc w:val="both"/>
      </w:pPr>
      <w:r>
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</w:r>
    </w:p>
    <w:p>
      <w:pPr>
        <w:pStyle w:val="Heading2"/>
      </w:pPr>
      <w:r>
        <w:t>Lâmina 22 · A PNED e o vazio material</w:t>
      </w:r>
    </w:p>
    <w:p>
      <w:r>
        <w:rPr>
          <w:color w:val="666666"/>
          <w:sz w:val="20"/>
        </w:rPr>
        <w:t>70 s  ·  ao final: 19:30</w:t>
      </w:r>
    </w:p>
    <w:p>
      <w:r>
        <w:rPr>
          <w:i/>
          <w:color w:val="555555"/>
        </w:rPr>
        <w:t>[Mostrar o cartão da esquerda e depois o da direita; pausa em "vazio material".]</w:t>
      </w:r>
    </w:p>
    <w:p>
      <w:pPr>
        <w:jc w:val="both"/>
      </w:pPr>
      <w:r>
        <w:t>A leitura da lei mostrou o ponto que considero mais frágil. De um lado está a exigência: a educação digital é componente curricular obrigatório desde a derrubada do veto, e a resolução de 2025 marcou a implementação para 2026. A formação aparece como ação de promoção. Do outro lado estão os meios: o eixo de inclusão digital se desenvolve dentro dos limites orçamentários de cada ente, e o artigo 11 não cria fundo próprio nem transferência obrigatória aos municípios. Numa rede pequena, esse desenho abre espaço para o que chamamos de vazio material: a exigência tem data, e os meios dependem da capacidade de cada rede, e a Secretaria ainda precisa decidir como distribuir o que tem entre localidades muito diferentes. Trato isso como proposição a verificar. Para separar o desenho da lei da capacidade fiscal do município, ainda preciso reunir os dados de receita e de gasto em educação de Tibau do Sul.</w:t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Lâmina 23 · Divisor: Do município à escola</w:t>
      </w:r>
    </w:p>
    <w:p>
      <w:r>
        <w:rPr>
          <w:color w:val="666666"/>
          <w:sz w:val="20"/>
        </w:rPr>
        <w:t>10 s  ·  ao final: 19:40</w:t>
      </w:r>
    </w:p>
    <w:p>
      <w:pPr>
        <w:jc w:val="both"/>
      </w:pPr>
      <w:r>
        <w:t>Chego ao capítulo 6, que percorre o caminho de Tibau do Sul até Pipa e até a escola.</w:t>
      </w:r>
    </w:p>
    <w:p>
      <w:pPr>
        <w:pStyle w:val="Heading2"/>
      </w:pPr>
      <w:r>
        <w:t>Lâmina 24 · Tibau do Sul</w:t>
      </w:r>
    </w:p>
    <w:p>
      <w:r>
        <w:rPr>
          <w:color w:val="666666"/>
          <w:sz w:val="20"/>
        </w:rPr>
        <w:t>55 s  ·  ao final: 20:35</w:t>
      </w:r>
    </w:p>
    <w:p>
      <w:r>
        <w:rPr>
          <w:i/>
          <w:color w:val="555555"/>
        </w:rPr>
        <w:t>[Apontar no mapa o litoral e a extensão do município.]</w:t>
      </w:r>
    </w:p>
    <w:p>
      <w:pPr>
        <w:jc w:val="both"/>
      </w:pPr>
      <w:r>
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lugares. Segundo o técnico da Secretaria, há um plano elaborado para a rede como um todo. A pergunta é se a tradução municipal da PNED considera essas diferenças.</w:t>
      </w:r>
    </w:p>
    <w:p>
      <w:pPr>
        <w:pStyle w:val="Heading2"/>
      </w:pPr>
      <w:r>
        <w:t>Lâmina 25 · Pipa</w:t>
      </w:r>
    </w:p>
    <w:p>
      <w:r>
        <w:rPr>
          <w:color w:val="666666"/>
          <w:sz w:val="20"/>
        </w:rPr>
        <w:t>55 s  ·  ao final: 21:30</w:t>
      </w:r>
    </w:p>
    <w:p>
      <w:r>
        <w:rPr>
          <w:i/>
          <w:color w:val="555555"/>
        </w:rPr>
        <w:t>[Apontar as fotos da esquerda para a direita.]</w:t>
      </w:r>
    </w:p>
    <w:p>
      <w:pPr>
        <w:jc w:val="both"/>
      </w:pPr>
      <w:r>
        <w:t>Nos anos 1970, Pipa era uma comunidade agrícola e pesqueira, sem energia elétrica, água encanada e boas vias de acesso. A partir de meados daquela década chegaram os surfistas, e a divulgação mais intensa nos anos 1990 trouxe turistas de várias partes do mundo, como reconstitui Aires. As fotografias mostram essa passagem: a construção artesanal de uma embarcação, um grupo de surfistas em abril de 1991 e a vista aérea atual, com pousadas e restaurantes que se vendem pela internet. Aires observa que a população nativa não foi passiva e que muitas paisagens ainda revelam materialidades de tempos passados, o que aproxima a história da localidade da noção de rugosidade. Massey nos impede de ler a distância entre escola e polo turístico como atraso: os dois são contemporâneos.</w:t>
      </w:r>
    </w:p>
    <w:p>
      <w:pPr>
        <w:pStyle w:val="Heading2"/>
      </w:pPr>
      <w:r>
        <w:t>Lâmina 26 · A escola</w:t>
      </w:r>
    </w:p>
    <w:p>
      <w:r>
        <w:rPr>
          <w:color w:val="666666"/>
          <w:sz w:val="20"/>
        </w:rPr>
        <w:t>55 s  ·  ao final: 22:25</w:t>
      </w:r>
    </w:p>
    <w:p>
      <w:pPr>
        <w:jc w:val="both"/>
      </w:pPr>
      <w:r>
        <w:t>Na escola, o laboratório de informática foi fotografado com os equipamentos desligados. A imagem não diz há quanto tempo o espaço está assim nem por quê; essas perguntas ficam para as demais fontes. Segundo informação preliminar, ainda a confirmar no documento de aquisição, os computadores foram comprados pela Prefeitura em 2022, pouco antes da lei. Nas salas fotografadas não havia nenhum dispositivo, e as crianças se alfabetizam com um alfabeto móvel feito à mão. A política nacional encontra equipamentos de uma iniciativa municipal anterior e lhes atribui nova função. Chamamos essa situação de rugosidade tecnológica, com Santos, para quem a forma permanece aguardando o próximo movimento dinâmico da sociedade.</w:t>
      </w:r>
    </w:p>
    <w:p>
      <w:pPr>
        <w:pStyle w:val="Heading1"/>
      </w:pPr>
      <w:r>
        <w:t>TESE E ENCERRAMENTO</w:t>
      </w:r>
    </w:p>
    <w:p>
      <w:pPr>
        <w:pStyle w:val="Heading2"/>
      </w:pPr>
      <w:r>
        <w:t>Lâmina 27 · Tese de partida e formulações</w:t>
      </w:r>
    </w:p>
    <w:p>
      <w:r>
        <w:rPr>
          <w:color w:val="666666"/>
          <w:sz w:val="20"/>
        </w:rPr>
        <w:t>80 s  ·  ao final: 23:45</w:t>
      </w:r>
    </w:p>
    <w:p>
      <w:r>
        <w:rPr>
          <w:i/>
          <w:color w:val="555555"/>
        </w:rPr>
        <w:t>[Ler a tese de partida em tom mais lento. É o centro da apresentação.]</w:t>
      </w:r>
    </w:p>
    <w:p>
      <w:pPr>
        <w:jc w:val="both"/>
      </w:pPr>
      <w:r>
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</w:r>
    </w:p>
    <w:p>
      <w:pPr>
        <w:pStyle w:val="Heading2"/>
      </w:pPr>
      <w:r>
        <w:t>Lâmina 28 · A questão aberta e os próximos passos</w:t>
      </w:r>
    </w:p>
    <w:p>
      <w:r>
        <w:rPr>
          <w:color w:val="666666"/>
          <w:sz w:val="20"/>
        </w:rPr>
        <w:t>60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p>
      <w:pPr>
        <w:jc w:val="both"/>
      </w:pPr>
      <w:r>
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</w:r>
    </w:p>
    <w:p>
      <w:pPr>
        <w:pStyle w:val="Heading2"/>
      </w:pPr>
      <w:r>
        <w:t>Lâmina 29 · Agradecimento</w:t>
      </w:r>
    </w:p>
    <w:p>
      <w:r>
        <w:rPr>
          <w:color w:val="666666"/>
          <w:sz w:val="20"/>
        </w:rPr>
        <w:t>15 s  ·  ao final: 25:00</w:t>
      </w:r>
    </w:p>
    <w:p>
      <w:pPr>
        <w:jc w:val="both"/>
      </w:pPr>
      <w:r>
        <w:t>Agradeço a atenção e fico à disposição para ouvir as considerações da banca, que vão ajudar a tornar esta pesquisa mais consistente.</w:t>
      </w:r>
    </w:p>
    <w:p>
      <w:pPr>
        <w:pStyle w:val="Heading1"/>
      </w:pPr>
      <w:r>
        <w:t>REFERÊNCIAS</w:t>
      </w:r>
    </w:p>
    <w:p>
      <w:pPr>
        <w:pStyle w:val="Heading2"/>
      </w:pPr>
      <w:r>
        <w:t>Lâmina 30 · Referências (1/2)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2"/>
      </w:pPr>
      <w:r>
        <w:t>Lâmina 31 · Referências (2/2)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fala.]</w:t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Lâmina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Lâmina 14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Lâmina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Lâmina 24 (Tibau do Sul): </w:t>
      </w:r>
      <w:r>
        <w:t>dizer só as localidades e a pergunta final. Ganho de cerca de 20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é um caso único com unidades incorporadas: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