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 ENCENAÇÃO DA POLÍTICA NACIONAL DE EDUCAÇÃO DIGITAL (PNED) EM PIPA/RN: CULTURAS PROFISSIONAIS, TERRITÓRIO E RESISTÊNCIAS NO CONTEXTO DA PRÁTICA</w:t>
      </w:r>
    </w:p>
    <w:p>
      <w:pPr>
        <w:jc w:val="center"/>
      </w:pPr>
      <w:r>
        <w:rPr>
          <w:sz w:val="20"/>
        </w:rPr>
        <w:t>Proposta de pesquisa – Yzynya Silva Rezende Machado | Orientadora: Profa. Dra. Maria Cristina Leandro de Paiva | PPGEd/UFRN</w:t>
      </w:r>
    </w:p>
    <w:p>
      <w:pPr>
        <w:keepNext/>
        <w:spacing w:before="120" w:after="40" w:line="240" w:lineRule="auto"/>
      </w:pPr>
      <w:r>
        <w:rPr>
          <w:b/>
        </w:rPr>
        <w:t>1 OBJETO</w:t>
      </w:r>
    </w:p>
    <w:p>
      <w:pPr>
        <w:spacing w:line="276" w:lineRule="auto" w:after="0"/>
        <w:ind w:firstLine="709"/>
        <w:jc w:val="both"/>
      </w:pPr>
      <w:r>
        <w:t>A Lei nº 14.533/2023 fez da educação digital um direito e, por meio do § 11 incluído no art. 26 da LDB, um componente curricular do ensino fundamental, com currículos obrigatórios a partir de 2026 (BRASIL, 1996; 2023; 2025). A mesma lei condiciona a inclusão digital aos “limites orçamentários” de cada órgão e não cria fundo próprio (BRASIL, 2023, arts. 2º e 11). É nessa distância, que chamamos de vazio material, que a pesquisa se situa. O objeto é a encenação da PNED, em seu eixo Educação Digital Escolar, pelos profissionais da educação dos anos iniciais (1º ao 5º ano) da Escola Municipal Domitila Castelo, em Pipa, Tibau do Sul (RN). Encenação é o nome que damos ao policy enactment de Ball, Maguire e Braun (2016), traduzido como atuação na edição brasileira: interpretar a política, produzindo sentidos sobre o que o texto pede, e traduzi-la em ações, planejamentos e registros possíveis naquela escola.</w:t>
      </w:r>
    </w:p>
    <w:p>
      <w:pPr>
        <w:keepNext/>
        <w:spacing w:before="120" w:after="40" w:line="240" w:lineRule="auto"/>
      </w:pPr>
      <w:r>
        <w:rPr>
          <w:b/>
        </w:rPr>
        <w:t>2 QUESTÃO DE PESQUISA</w:t>
      </w:r>
    </w:p>
    <w:p>
      <w:pPr>
        <w:spacing w:line="276" w:lineRule="auto" w:after="0"/>
        <w:ind w:firstLine="709"/>
        <w:jc w:val="both"/>
      </w:pPr>
      <w:r>
        <w:t>Como os profissionais da educação encenam, isto é, interpretam e traduzem, a PNED no contexto da prática da Escola Municipal Domitila Castelo, em Pipa (RN), e de que maneira as especificidades socioespaciais do território, aliadas às culturas profissionais locais, operam como espaços de ressignificação ou de resistência frente à normativa e às pressões da performatividade?</w:t>
      </w:r>
    </w:p>
    <w:p>
      <w:pPr>
        <w:keepNext/>
        <w:spacing w:before="120" w:after="40" w:line="240" w:lineRule="auto"/>
      </w:pPr>
      <w:r>
        <w:rPr>
          <w:b/>
        </w:rPr>
        <w:t>3 OBJETIVOS</w:t>
      </w:r>
    </w:p>
    <w:p>
      <w:pPr>
        <w:spacing w:line="276" w:lineRule="auto" w:after="0"/>
        <w:ind w:firstLine="709"/>
        <w:jc w:val="both"/>
      </w:pPr>
      <w:r>
        <w:rPr>
          <w:b/>
        </w:rPr>
        <w:t>Geral:</w:t>
      </w:r>
      <w:r>
        <w:t xml:space="preserve"> analisar a encenação da PNED pelos profissionais da educação no contexto da prática (BOWE; BALL; GOLD, 1992) da escola investigada, investigando as dinâmicas de recontextualização e de resistência produzidas no cruzamento entre a normativa, as culturas profissionais e o território.</w:t>
      </w:r>
    </w:p>
    <w:p>
      <w:pPr>
        <w:spacing w:line="276" w:lineRule="auto" w:after="0"/>
        <w:ind w:firstLine="709"/>
        <w:jc w:val="both"/>
      </w:pPr>
      <w:r>
        <w:rPr>
          <w:b/>
        </w:rPr>
        <w:t>Específicos:</w:t>
      </w:r>
      <w:r>
        <w:t xml:space="preserve"> a) investigar como os diferentes profissionais decodificam os textos da PNED e os discursos sobre cultura digital a partir de suas culturas profissionais (HARGREAVES, 2005); b) mapear as táticas institucionais e pedagógicas mobilizadas para traduzir a política no cotidiano, considerando as dimensões material e situacional do contexto (BALL; MAGUIRE; BRAUN, 2016) e o território usado (SANTOS, 1999); c) identificar lógicas de performatividade (BALL, 2004) derivadas das exigências da PNED e analisar as estratégias de ressignificação e de resistência adotadas diante delas, inclusive as fabricações (BALL, 2002).</w:t>
      </w:r>
    </w:p>
    <w:p>
      <w:pPr>
        <w:keepNext/>
        <w:spacing w:before="120" w:after="40" w:line="240" w:lineRule="auto"/>
      </w:pPr>
      <w:r>
        <w:rPr>
          <w:b/>
        </w:rPr>
        <w:t>4 INEDITISMO</w:t>
      </w:r>
    </w:p>
    <w:p>
      <w:pPr>
        <w:spacing w:line="276" w:lineRule="auto" w:after="0"/>
        <w:ind w:firstLine="709"/>
        <w:jc w:val="both"/>
      </w:pPr>
      <w:r>
        <w:t>A primeira dimensão é empírico-temporal. Acompanhamos a PNED no momento em que a exigência curricular se torna obrigatória (BRASIL, 2025, art. 36). A revisão sistemática que realizamos, conduzida segundo a declaração PRISMA 2020 (PAGE et al., 2022), reuniu nove estudos: nenhum analisa a PNED, um só delimita o ciclo de alfabetização e nenhum trata de rede municipal de pequeno porte, resultado que vale para o recorte e as bases consultadas. A segunda é analítico-espacial. Com Santos (1999), tomamos Pipa como território usado, campo de forças entre o uso econômico e o uso social dos recursos, e, com Massey (2008), como lugar de encontro de trajetórias: o digital move o turismo, a pesca segue no mesmo mar e as salas que registramos não têm dispositivo algum. A terceira é teórico-conceitual. Ball (2011) critica as análises que localizam o problema na escola ou no professor e nunca nas políticas; seguindo essa crítica, recusamos a leitura da distância entre a norma e a sala de aula como falha de implementação e a tomamos como processo político, no qual os profissionais também fazem política (BALL; MAGUIRE; BRAUN, 2016). Para nomear o que o acesso não mede, propomos a noção de habitar o digital, construída nesta tese a partir do território usado e do lugar: a experiência desigual de viver a cultura digital num mesmo território. A tese que propomos defender, como hipótese até o fim do campo, é a de que o território e as culturas profissionais operam, em Pipa, como espaços de ressignificação ou de resistência frente à PNED e à performatividade.</w:t>
      </w:r>
    </w:p>
    <w:p>
      <w:pPr>
        <w:keepNext/>
        <w:spacing w:before="120" w:after="40" w:line="240" w:lineRule="auto"/>
      </w:pPr>
      <w:r>
        <w:rPr>
          <w:b/>
        </w:rPr>
        <w:t>5 REFERENCIAL TEÓRICO-METODOLÓGICO</w:t>
      </w:r>
    </w:p>
    <w:p>
      <w:pPr>
        <w:spacing w:line="276" w:lineRule="auto" w:after="0"/>
        <w:ind w:firstLine="709"/>
        <w:jc w:val="both"/>
      </w:pPr>
      <w:r>
        <w:t>A Abordagem do Ciclo de Políticas sustenta a leitura da política como processo, que no contexto da prática é interpretado e recriado (BOWE; BALL; GOLD, 1992; MAINARDES, 2006). A teoria da atuação sustenta a ideia de que a escola também faz a política e organiza a análise em quatro dimensões do contexto: situacional, culturas profissionais, material e externa (BALL; MAGUIRE; BRAUN, 2016). As culturas profissionais são lidas em seu conteúdo, isto é, crenças, valores, hábitos e formas de fazer partilhados pelos professores, e em sua forma, isto é, os modos de relação entre eles (HARGREAVES, 2005, p. 189-191). A performatividade, como cultura de metas, comparações e prestação de contas (BALL, 2004), e as fabricações, versões da escola produzidas para serem avaliadas (BALL, 2002), sustentam a leitura das cobranças por registros e das respostas a elas. Os direitos da criança no ambiente digital, em suas dimensões de provisão, participação e proteção, orientam a leitura do que a escola consegue garantir (ONU, 2021).</w:t>
      </w:r>
    </w:p>
    <w:p>
      <w:pPr>
        <w:keepNext/>
        <w:spacing w:before="120" w:after="40" w:line="240" w:lineRule="auto"/>
      </w:pPr>
      <w:r>
        <w:rPr>
          <w:b/>
        </w:rPr>
        <w:t>6 METODOLOGIA: COMO OS DADOS SERÃO CONSTRUÍDOS</w:t>
      </w:r>
    </w:p>
    <w:p>
      <w:pPr>
        <w:spacing w:line="276" w:lineRule="auto" w:after="0"/>
        <w:ind w:firstLine="709"/>
        <w:jc w:val="both"/>
      </w:pPr>
      <w:r>
        <w:t>A pesquisa é qualitativa, pois trabalha com sentidos, valores e crenças (MINAYO, 2009), e se organiza como estudo de caso, investigação de um fenômeno contemporâneo em seu contexto real (YIN, 2001). Participam todos os profissionais da educação dos anos iniciais que aceitarem o convite, no sentido amplo da LDB (art. 61) e da Lei nº 14.817/2024, porque todos constroem a política (BALL; MAGUIRE; BRAUN, 2016): docentes do 1º ao 5º ano, coordenação, direção e demais profissionais ligados às turmas. Os dados serão construídos em seis passos.</w:t>
      </w:r>
    </w:p>
    <w:p>
      <w:pPr>
        <w:spacing w:line="276" w:lineRule="auto" w:after="0"/>
        <w:ind w:firstLine="709"/>
        <w:jc w:val="both"/>
      </w:pPr>
      <w:r>
        <w:rPr>
          <w:b/>
        </w:rPr>
        <w:t>Passo 1, entrada e ética:</w:t>
      </w:r>
      <w:r>
        <w:t xml:space="preserve"> emenda ao CEP, anuência da escola e TCLE, conforme as Resoluções CNS nº 466/2012 e nº 510/2016; registro datado dos critérios de exame da hipótese antes da primeira entrevista, como proposições prévias que o campo pode recusar (YIN, 2001).</w:t>
      </w:r>
    </w:p>
    <w:p>
      <w:pPr>
        <w:spacing w:line="276" w:lineRule="auto" w:after="0"/>
        <w:ind w:firstLine="709"/>
        <w:jc w:val="both"/>
      </w:pPr>
      <w:r>
        <w:rPr>
          <w:b/>
        </w:rPr>
        <w:t>Passo 2, análise documental:</w:t>
      </w:r>
      <w:r>
        <w:t xml:space="preserve"> lei e veto, Resolução CNE/CEB nº 2/2025, PPP, planos de aula, atas, cadernos de uso do laboratório, registros de formação e documentos da PIEC, lidos com as questões analíticas dos contextos de influência, de produção do texto e da prática (MAINARDES, 2006).</w:t>
      </w:r>
    </w:p>
    <w:p>
      <w:pPr>
        <w:spacing w:line="276" w:lineRule="auto" w:after="0"/>
        <w:ind w:firstLine="709"/>
        <w:jc w:val="both"/>
      </w:pPr>
      <w:r>
        <w:rPr>
          <w:b/>
        </w:rPr>
        <w:t>Passo 3, registro iconográfico:</w:t>
      </w:r>
      <w:r>
        <w:t xml:space="preserve"> já realizado (38 figuras da escola e do acervo do Museu Digital de Pipa), lido com a noção de rugosidade, formas de outros tempos que permanecem quando se impõem novas funções (SANTOS, 2012); a completar com testes de conexão nas salas.</w:t>
      </w:r>
    </w:p>
    <w:p>
      <w:pPr>
        <w:spacing w:line="276" w:lineRule="auto" w:after="0"/>
        <w:ind w:firstLine="709"/>
        <w:jc w:val="both"/>
      </w:pPr>
      <w:r>
        <w:rPr>
          <w:b/>
        </w:rPr>
        <w:t>Passo 4, questionário de perfil e percepções:</w:t>
      </w:r>
      <w:r>
        <w:t xml:space="preserve"> presencial, em formulário digital, com cinco blocos ligados às dimensões do contexto (BALL; MAGUIRE; BRAUN, 2016) e aos direitos da criança (ONU, 2021).</w:t>
      </w:r>
    </w:p>
    <w:p>
      <w:pPr>
        <w:spacing w:line="276" w:lineRule="auto" w:after="0"/>
        <w:ind w:firstLine="709"/>
        <w:jc w:val="both"/>
      </w:pPr>
      <w:r>
        <w:rPr>
          <w:b/>
        </w:rPr>
        <w:t>Passo 5, entrevistas semiestruturadas em profundidade:</w:t>
      </w:r>
      <w:r>
        <w:t xml:space="preserve"> individuais, de 60 a 90 minutos, em seis eixos (culturas profissionais, interpretação, tradução, performatividade, resistência e direitos da criança), adaptadas a cada função. As categorias analíticas não aparecem nas perguntas, para não induzir respostas.</w:t>
      </w:r>
    </w:p>
    <w:p>
      <w:pPr>
        <w:spacing w:line="276" w:lineRule="auto" w:after="0"/>
        <w:ind w:firstLine="709"/>
        <w:jc w:val="both"/>
      </w:pPr>
      <w:r>
        <w:rPr>
          <w:b/>
        </w:rPr>
        <w:t>Passo 6, análise e devolutiva:</w:t>
      </w:r>
      <w:r>
        <w:t xml:space="preserve"> análise temática reflexiva, na qual a subjetividade de quem analisa é recurso, e não viés (BRAUN; CLARKE, 2006, 2019), orientada pelas dimensões do contexto e pelo mapeamento de quatro movimentos: acomodação, omissão seletiva, tradução para fins locais (BALL; MAGUIRE; BRAUN, 2016) e fabricação performativa (BALL, 2002); triangulação das fontes (YIN, 2001), checagem dos relatos e devolução dos resultados à escola, como responsabilidade ética com o campo (MAINARDES, 2006).</w:t>
      </w:r>
    </w:p>
    <w:p>
      <w:pPr>
        <w:spacing w:line="276" w:lineRule="auto" w:after="0"/>
        <w:ind w:firstLine="709"/>
        <w:jc w:val="both"/>
      </w:pPr>
      <w:r>
        <w:t>A hipótese pode falhar, e a acomodação à norma também será resultado. Permanece a pergunta que move a pesquisa: quando a política não faz chegar o equipamento nem a formação, quem paga, no silêncio do cotidiano escolar, o preço dessa ausência?</w:t>
      </w:r>
    </w:p>
    <w:p>
      <w:pPr>
        <w:keepNext/>
        <w:spacing w:before="120" w:after="40" w:line="240" w:lineRule="auto"/>
      </w:pPr>
      <w:r>
        <w:rPr>
          <w:b/>
        </w:rPr>
        <w:t>REFERÊNCIAS</w:t>
      </w:r>
    </w:p>
    <w:p>
      <w:pPr>
        <w:spacing w:line="240" w:lineRule="auto" w:after="20"/>
      </w:pPr>
      <w:r>
        <w:rPr>
          <w:sz w:val="18"/>
        </w:rPr>
        <w:t>BALL, S. J. Reformar escolas/reformar professores e os terrores da performatividade. Revista Portuguesa de Educação, Braga, v. 15, n. 2, p. 3-23, 2002.</w:t>
      </w:r>
    </w:p>
    <w:p>
      <w:pPr>
        <w:spacing w:line="240" w:lineRule="auto" w:after="20"/>
      </w:pPr>
      <w:r>
        <w:rPr>
          <w:sz w:val="18"/>
        </w:rPr>
        <w:t>BALL, S. J. Performatividade, privatização e o pós-Estado do bem-estar. Educação &amp; Sociedade, Campinas, v. 25, n. 89, p. 1105-1126, 2004.</w:t>
      </w:r>
    </w:p>
    <w:p>
      <w:pPr>
        <w:spacing w:line="240" w:lineRule="auto" w:after="20"/>
      </w:pPr>
      <w:r>
        <w:rPr>
          <w:sz w:val="18"/>
        </w:rPr>
        <w:t>BALL, S. J. Sociologia das políticas educacionais e pesquisa crítico-social. In: BALL, S. J.; MAINARDES, J. (org.). Políticas educacionais: questões e dilemas. São Paulo: Cortez, 2011. p. 21-53.</w:t>
      </w:r>
    </w:p>
    <w:p>
      <w:pPr>
        <w:spacing w:line="240" w:lineRule="auto" w:after="20"/>
      </w:pPr>
      <w:r>
        <w:rPr>
          <w:sz w:val="18"/>
        </w:rPr>
        <w:t>BALL, S. J.; MAGUIRE, M.; BRAUN, A. Como as escolas fazem as políticas: atuação em escolas secundárias. Ponta Grossa: Editora UEPG, 2016.</w:t>
      </w:r>
    </w:p>
    <w:p>
      <w:pPr>
        <w:spacing w:line="240" w:lineRule="auto" w:after="20"/>
      </w:pPr>
      <w:r>
        <w:rPr>
          <w:sz w:val="18"/>
        </w:rPr>
        <w:t>BOWE, R.; BALL, S. J.; GOLD, A. Reforming education and changing schools. London: Routledge, 1992.</w:t>
      </w:r>
    </w:p>
    <w:p>
      <w:pPr>
        <w:spacing w:line="240" w:lineRule="auto" w:after="20"/>
      </w:pPr>
      <w:r>
        <w:rPr>
          <w:sz w:val="18"/>
        </w:rPr>
        <w:t>BRASIL. Lei nº 9.394, de 20 de dezembro de 1996 (LDB). | Lei nº 14.533, de 11 de janeiro de 2023 (PNED). | Lei nº 14.817, de 16 de janeiro de 2024. | Conselho Nacional de Educação. Resolução CNE/CEB nº 2, de 21 de março de 2025. Brasília, DF: DOU.</w:t>
      </w:r>
    </w:p>
    <w:p>
      <w:pPr>
        <w:spacing w:line="240" w:lineRule="auto" w:after="20"/>
      </w:pPr>
      <w:r>
        <w:rPr>
          <w:sz w:val="18"/>
        </w:rPr>
        <w:t>BRAUN, V.; CLARKE, V. Using thematic analysis in psychology. Qualitative Research in Psychology, v. 3, n. 2, p. 77-101, 2006. | Reflecting on reflexive thematic analysis. Qualitative Research in Sport, Exercise and Health, v. 11, n. 4, p. 589-597, 2019.</w:t>
      </w:r>
    </w:p>
    <w:p>
      <w:pPr>
        <w:spacing w:line="240" w:lineRule="auto" w:after="20"/>
      </w:pPr>
      <w:r>
        <w:rPr>
          <w:sz w:val="18"/>
        </w:rPr>
        <w:t>HARGREAVES, A. Profesorado, cultura y postmodernidad: cambian los tiempos, cambia el profesorado. 5. ed. Madrid: Morata, 2005.</w:t>
      </w:r>
    </w:p>
    <w:p>
      <w:pPr>
        <w:spacing w:line="240" w:lineRule="auto" w:after="20"/>
      </w:pPr>
      <w:r>
        <w:rPr>
          <w:sz w:val="18"/>
        </w:rPr>
        <w:t>MAINARDES, J. Abordagem do ciclo de políticas. Educação &amp; Sociedade, Campinas, v. 27, n. 94, p. 47-69, 2006.</w:t>
      </w:r>
    </w:p>
    <w:p>
      <w:pPr>
        <w:spacing w:line="240" w:lineRule="auto" w:after="20"/>
      </w:pPr>
      <w:r>
        <w:rPr>
          <w:sz w:val="18"/>
        </w:rPr>
        <w:t>MASSEY, D. Pelo espaço: uma nova política da espacialidade. Rio de Janeiro: Bertrand Brasil, 2008.</w:t>
      </w:r>
    </w:p>
    <w:p>
      <w:pPr>
        <w:spacing w:line="240" w:lineRule="auto" w:after="20"/>
      </w:pPr>
      <w:r>
        <w:rPr>
          <w:sz w:val="18"/>
        </w:rPr>
        <w:t>MINAYO, M. C. S. (org.). Pesquisa social: teoria, método e criatividade. 28. ed. Petrópolis: Vozes, 2009.</w:t>
      </w:r>
    </w:p>
    <w:p>
      <w:pPr>
        <w:spacing w:line="240" w:lineRule="auto" w:after="20"/>
      </w:pPr>
      <w:r>
        <w:rPr>
          <w:sz w:val="18"/>
        </w:rPr>
        <w:t>ONU. Comitê dos Direitos da Criança. Comentário Geral nº 25 (2021). CRC/C/GC/25. Genebra: ONU, 2021.</w:t>
      </w:r>
    </w:p>
    <w:p>
      <w:pPr>
        <w:spacing w:line="240" w:lineRule="auto" w:after="20"/>
      </w:pPr>
      <w:r>
        <w:rPr>
          <w:sz w:val="18"/>
        </w:rPr>
        <w:t>PAGE, M. J. et al. A declaração PRISMA 2020. Epidemiologia e Serviços de Saúde, Brasília, v. 31, n. 2, e2022107, 2022.</w:t>
      </w:r>
    </w:p>
    <w:p>
      <w:pPr>
        <w:spacing w:line="240" w:lineRule="auto" w:after="20"/>
      </w:pPr>
      <w:r>
        <w:rPr>
          <w:sz w:val="18"/>
        </w:rPr>
        <w:t>SANTOS, M. O território e o saber local. Cadernos IPPUR, ano 13, n. 2, p. 15-26, 1999. | Espaço e método. 5. ed. São Paulo: Edusp, 2012.</w:t>
      </w:r>
    </w:p>
    <w:p>
      <w:pPr>
        <w:spacing w:line="240" w:lineRule="auto" w:after="20"/>
      </w:pPr>
      <w:r>
        <w:rPr>
          <w:sz w:val="18"/>
        </w:rPr>
        <w:t>YIN, R. K. Estudo de caso: planejamento e métodos. 2. ed. Porto Alegre: Bookman, 2001.</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