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 xml:space="preserve">Na Introdução, formulamos a questão norteadora da tese: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Este capítulo apresenta o caminho escolhido para respondê-la. Ele cumpre, na arquitetura da tese, uma função dupla. Organiza a produção e a análise dos dados relativos aos quatro objetivos específicos e fixa, antes do campo, as dimensões e os critérios pelos quais as formas de atuação dos profissionais serão identificadas, sem que nenhuma delas seja pressuposta. Sem esses critérios, a análise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rPr>
        <w:t>proteção dos dados de crianças e adolescentes</w:t>
      </w:r>
      <w:r>
        <w:rPr>
          <w:rFonts w:ascii="Times New Roman" w:hAnsi="Times New Roman"/>
          <w:sz w:val="24"/>
        </w:rPr>
        <w:t xml:space="preserve"> (BRASIL, 2023, art. 3º, III e IV). </w:t>
      </w:r>
      <w:r>
        <w:rPr>
          <w:rFonts w:ascii="Times New Roman" w:hAnsi="Times New Roman"/>
          <w:sz w:val="24"/>
        </w:rPr>
        <w:t>Nos anos iniciais da</w:t>
      </w:r>
      <w:r>
        <w:rPr>
          <w:rFonts w:ascii="Times New Roman" w:hAnsi="Times New Roman"/>
          <w:sz w:val="24"/>
        </w:rPr>
        <w:t xml:space="preserve"> Escola Municipal Domitila Castelo da Silva</w:t>
      </w:r>
      <w:r>
        <w:rPr>
          <w:rFonts w:ascii="Times New Roman" w:hAnsi="Times New Roman"/>
          <w:sz w:val="24"/>
        </w:rPr>
        <w:t xml:space="preserve"> estudam crianças de seis a dez anos: em 2026, são 351 crianças matriculadas em quinze turmas do 1º ao 5º ano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Esta pesquisa não ouve as crianças nem avalia aprendizagens. Chega a elas por um caminho indireto, pelas condições de trabalho dos profissionais e pelas decisões relatadas por eles, e esse limite orienta todas as escolhas do desenho.</w:t>
      </w:r>
    </w:p>
    <w:p>
      <w:pPr>
        <w:spacing w:line="360" w:lineRule="auto"/>
        <w:ind w:firstLine="709"/>
        <w:jc w:val="both"/>
      </w:pPr>
      <w:r>
        <w:rPr>
          <w:rFonts w:ascii="Times New Roman" w:hAnsi="Times New Roman"/>
          <w:sz w:val="24"/>
        </w:rPr>
        <w:t xml:space="preserve">O campo é a rede municipal de Tibau do Sul, no Rio Grande do Norte, e, dentro dela, a escola de Pipa. Participam os profissionais da educação que atuam nos anos iniciais, do 1º ao 5º ano: docentes, coordenação pedagógica, direção e demais profissionais ligados ao trabalho pedagógico dessas turmas. Um técnico da Secretaria Municipal de Educação, o coordenador de políticas públicas e programas educacionais do município, participa como fonte complementar sobre o contexto externo. Os dados serão construídos em cinco movimentos, a análise documental, o registro iconográfico, o questionário, as entrevistas semiestruturadas e a análise com devolutiva, e lidos com a Abordagem do Ciclo de Políticas (ACP), formulada por Bowe, Ball e Gold (1992) e sistematizada no Brasil por Mainardes (2006), e com a teoria da atuação de Ball, Maguire e Braun (2016). Dois pontos recebem atenção especial ao longo do capítulo: a posição da pesquisadora, que residiu em Pipa e trabalhou na rede municipal, e os critérios de leitura das formas de atuação. Os resultados ficam para os capítulos de análise.</w:t>
      </w:r>
    </w:p>
    <w:p>
      <w:pPr>
        <w:spacing w:line="360" w:lineRule="auto"/>
        <w:ind w:firstLine="709"/>
        <w:jc w:val="both"/>
      </w:pPr>
      <w:r>
        <w:rPr>
          <w:rFonts w:ascii="Times New Roman" w:hAnsi="Times New Roman"/>
          <w:sz w:val="24"/>
        </w:rPr>
        <w:t>O Quadro 9 mostra a correspondência entre cada objetivo específico, os contextos da ACP, as dimensões do contexto, as fontes e os capítulos. Os quatro objetivos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com que meios e com que promessas às crianças, e identifica no texto os elementos que podem gerar lógicas de performatividade, base para os objetivos (a), (c) e (d).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rPr>
              <w:t>(a) Compreender como os diferentes profissionais interpretam os textos da PNED e os discursos sobre educação digital</w:t>
            </w:r>
          </w:p>
        </w:tc>
        <w:tc>
          <w:tcPr>
            <w:tcW w:type="dxa" w:w="2351"/>
          </w:tcPr>
          <w:p>
            <w:r/>
            <w:r>
              <w:rPr>
                <w:rFonts w:ascii="Times New Roman" w:hAnsi="Times New Roman"/>
                <w:sz w:val="20"/>
              </w:rPr>
              <w:t>Contexto da prática (culturas profissionais), com base nos contextos de influência e de produção do texto. Análise documental; questionário (Blocos 1, 2 e 5); entrevistas (Eixos 1 e 2)</w:t>
            </w:r>
          </w:p>
        </w:tc>
        <w:tc>
          <w:tcPr>
            <w:tcW w:type="dxa" w:w="2351"/>
          </w:tcPr>
          <w:p>
            <w:r/>
            <w:r>
              <w:rPr>
                <w:rFonts w:ascii="Times New Roman" w:hAnsi="Times New Roman"/>
                <w:sz w:val="20"/>
              </w:rPr>
              <w:t>5 e 7</w:t>
            </w:r>
          </w:p>
        </w:tc>
        <w:tc>
          <w:tcPr>
            <w:tcW w:type="dxa" w:w="2351"/>
          </w:tcPr>
          <w:p>
            <w:r/>
            <w:r>
              <w:rPr>
                <w:rFonts w:ascii="Times New Roman" w:hAnsi="Times New Roman"/>
                <w:sz w:val="20"/>
              </w:rPr>
              <w:t>Os sentidos atribuídos à política em cada posição institucional, lidos em relação ao que o texto efetivamente pede</w:t>
            </w:r>
          </w:p>
        </w:tc>
      </w:tr>
      <w:tr>
        <w:tc>
          <w:tcPr>
            <w:tcW w:type="dxa" w:w="2351"/>
          </w:tcPr>
          <w:p>
            <w:r/>
            <w:r>
              <w:rPr>
                <w:rFonts w:ascii="Times New Roman" w:hAnsi="Times New Roman"/>
                <w:sz w:val="20"/>
              </w:rPr>
              <w:t>(b) Analisar como as condições da escola e o território atravessam a tradução da PNED em práticas cotidianas</w:t>
            </w:r>
          </w:p>
        </w:tc>
        <w:tc>
          <w:tcPr>
            <w:tcW w:type="dxa" w:w="2351"/>
          </w:tcPr>
          <w:p>
            <w:r/>
            <w:r>
              <w:rPr>
                <w:rFonts w:ascii="Times New Roman" w:hAnsi="Times New Roman"/>
                <w:sz w:val="20"/>
              </w:rPr>
              <w:t>Contexto da prática (dimensões situacional e material). Registro iconográfico e acervo do Museu Digital de Pipa; documentos de aquisição (a realizar); questionário (Bloco 3); entrevistas (Eixo 3)</w:t>
            </w:r>
          </w:p>
        </w:tc>
        <w:tc>
          <w:tcPr>
            <w:tcW w:type="dxa" w:w="2351"/>
          </w:tcPr>
          <w:p>
            <w:r/>
            <w:r>
              <w:rPr>
                <w:rFonts w:ascii="Times New Roman" w:hAnsi="Times New Roman"/>
                <w:sz w:val="20"/>
              </w:rPr>
              <w:t>6 e 7</w:t>
            </w:r>
          </w:p>
        </w:tc>
        <w:tc>
          <w:tcPr>
            <w:tcW w:type="dxa" w:w="2351"/>
          </w:tcPr>
          <w:p>
            <w:r/>
            <w:r>
              <w:rPr>
                <w:rFonts w:ascii="Times New Roman" w:hAnsi="Times New Roman"/>
                <w:sz w:val="20"/>
              </w:rPr>
              <w:t>As condições de tradução: vazio material, habitar o digital e rugosidade tecnológica</w:t>
            </w:r>
          </w:p>
        </w:tc>
      </w:tr>
      <w:tr>
        <w:tc>
          <w:tcPr>
            <w:tcW w:type="dxa" w:w="2351"/>
          </w:tcPr>
          <w:p>
            <w:r/>
            <w:r>
              <w:rPr>
                <w:rFonts w:ascii="Times New Roman" w:hAnsi="Times New Roman"/>
                <w:sz w:val="20"/>
              </w:rPr>
              <w:t>(c) Identificar as formas de atuação produzidas diante da política, sem pressupor a predominância de nenhuma</w:t>
            </w:r>
          </w:p>
        </w:tc>
        <w:tc>
          <w:tcPr>
            <w:tcW w:type="dxa" w:w="2351"/>
          </w:tcPr>
          <w:p>
            <w:r/>
            <w:r>
              <w:rPr>
                <w:rFonts w:ascii="Times New Roman" w:hAnsi="Times New Roman"/>
                <w:sz w:val="20"/>
              </w:rPr>
              <w:t>Contexto da prática (todas as dimensões, inclusive a externa, com o técnico da Secretaria). Entrevistas (Eixos 3, 4 e 5); documentos pedagógicos</w:t>
            </w:r>
          </w:p>
        </w:tc>
        <w:tc>
          <w:tcPr>
            <w:tcW w:type="dxa" w:w="2351"/>
          </w:tcPr>
          <w:p>
            <w:r/>
            <w:r>
              <w:rPr>
                <w:rFonts w:ascii="Times New Roman" w:hAnsi="Times New Roman"/>
                <w:sz w:val="20"/>
              </w:rPr>
              <w:t>7</w:t>
            </w:r>
          </w:p>
        </w:tc>
        <w:tc>
          <w:tcPr>
            <w:tcW w:type="dxa" w:w="2351"/>
          </w:tcPr>
          <w:p>
            <w:r/>
            <w:r>
              <w:rPr>
                <w:rFonts w:ascii="Times New Roman" w:hAnsi="Times New Roman"/>
                <w:sz w:val="20"/>
              </w:rPr>
              <w:t>O mapa das formas de atuação, da adesão à resistência, e das condições em que aparecem</w:t>
            </w:r>
          </w:p>
        </w:tc>
      </w:tr>
      <w:tr>
        <w:tc>
          <w:tcPr>
            <w:tcW w:type="dxa" w:w="2351"/>
          </w:tcPr>
          <w:p>
            <w:r/>
            <w:r>
              <w:rPr>
                <w:rFonts w:ascii="Times New Roman" w:hAnsi="Times New Roman"/>
                <w:sz w:val="20"/>
              </w:rPr>
              <w:t>(d) Discutir as implicações dessas formas para a educação digital das crianças</w:t>
            </w:r>
          </w:p>
        </w:tc>
        <w:tc>
          <w:tcPr>
            <w:tcW w:type="dxa" w:w="2351"/>
          </w:tcPr>
          <w:p>
            <w:r/>
            <w:r>
              <w:rPr>
                <w:rFonts w:ascii="Times New Roman" w:hAnsi="Times New Roman"/>
                <w:sz w:val="20"/>
              </w:rPr>
              <w:t>Provisão, proteção e participação (ONU, 2021; Estatuto Digital). Leitura da lei no Capítulo 5; questionário (Bloco 5); entrevistas (Eixo 6)</w:t>
            </w:r>
          </w:p>
        </w:tc>
        <w:tc>
          <w:tcPr>
            <w:tcW w:type="dxa" w:w="2351"/>
          </w:tcPr>
          <w:p>
            <w:r/>
            <w:r>
              <w:rPr>
                <w:rFonts w:ascii="Times New Roman" w:hAnsi="Times New Roman"/>
                <w:sz w:val="20"/>
              </w:rPr>
              <w:t>5 e 7</w:t>
            </w:r>
          </w:p>
        </w:tc>
        <w:tc>
          <w:tcPr>
            <w:tcW w:type="dxa" w:w="2351"/>
          </w:tcPr>
          <w:p>
            <w:r/>
            <w:r>
              <w:rPr>
                <w:rFonts w:ascii="Times New Roman" w:hAnsi="Times New Roman"/>
                <w:sz w:val="20"/>
              </w:rPr>
              <w:t>O que a encenação da PNED produz para os direitos das crianças</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é lido nessas condições, sem recair individualmente sobre cada profissional. É uma escolha política. Os profissionais da escola pública, e a professora em especial, já foram responsabilizados demais pelo que falta a ela, e esta tese não pretende repetir esse gesto.</w:t>
      </w:r>
    </w:p>
    <w:p>
      <w:pPr>
        <w:spacing w:line="360" w:lineRule="auto"/>
        <w:ind w:firstLine="709"/>
        <w:jc w:val="both"/>
      </w:pPr>
      <w:r>
        <w:rPr>
          <w:rFonts w:ascii="Times New Roman" w:hAnsi="Times New Roman"/>
          <w:sz w:val="24"/>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 xml:space="preserve">A pesquisadora residiu no distrito de Pipa, convive com o território há quase duas décadas e trabalhou dezoito anos na rede municipal de Tibau do Sul. Durante o ensino remoto emergencial, esteve na Escola Municipal Domitila Castelo da Silva.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rPr>
        <w:t>Como antecipado na Introdução, Yin (2001) define</w:t>
      </w:r>
      <w:r>
        <w:rPr>
          <w:rFonts w:ascii="Times New Roman" w:hAnsi="Times New Roman"/>
          <w:sz w:val="24"/>
        </w:rPr>
        <w:t xml:space="preserve"> o estudo de caso </w:t>
      </w:r>
      <w:r>
        <w:rPr>
          <w:rFonts w:ascii="Times New Roman" w:hAnsi="Times New Roman"/>
          <w:sz w:val="24"/>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É a situação de Pipa. Infraestrutura, formação dos profissionais, cultura escolar e desigualdades do território condicionam a política e fazem parte dela ao mesmo tempo, sem possibilidade de isolar um elemento dos demais. O desenho reúne, por isso, quatro fontes de evidência, organizadas em cinco movimentos e confrontadas por triangulação, e proposições teóricas formuladas antes da coleta, vindas da ACP e da teoria da atuação.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 xml:space="preserve">Por essa razão, é preciso justificar a escolha desta escola. Ela reúne três características: convive com a movimentação de um polo turístico internacional, trabalha há muito tempo com limitações de infraestrutura e </w:t>
      </w:r>
      <w:r>
        <w:rPr>
          <w:rFonts w:ascii="Times New Roman" w:hAnsi="Times New Roman"/>
          <w:sz w:val="24"/>
        </w:rPr>
        <w:t xml:space="preserve">atende os anos iniciais do Ensino Fundamental, do 1º ao 5º ano, incluído o ciclo de alfabetização.</w:t>
      </w:r>
      <w:r>
        <w:rPr>
          <w:rFonts w:ascii="Times New Roman" w:hAnsi="Times New Roman"/>
          <w:sz w:val="24"/>
        </w:rPr>
        <w:t xml:space="preserve"> O caso tem limites claros. Consiste na chegada do eixo Educação Digital Escolar à Escola Municipal Domitila Castelo da Silva,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rPr>
        <w:t>TEORIA DA ATUAÇÃO</w:t>
      </w:r>
    </w:p>
    <w:p>
      <w:pPr>
        <w:spacing w:line="360" w:lineRule="auto"/>
        <w:ind w:firstLine="709"/>
        <w:jc w:val="both"/>
      </w:pPr>
      <w:r>
        <w:rPr>
          <w:rFonts w:ascii="Times New Roman" w:hAnsi="Times New Roman"/>
          <w:sz w:val="24"/>
        </w:rPr>
        <w:t xml:space="preserve">A questão norteadora, o objeto e o objetivo geral empregam o termo encenação, que ocupa nesta tese o lugar de implementação por razões que convém explicitar.</w:t>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Implementação</w:t>
      </w:r>
      <w:r>
        <w:rPr>
          <w:rFonts w:ascii="Times New Roman" w:hAnsi="Times New Roman"/>
          <w:sz w:val="24"/>
        </w:rPr>
        <w:t xml:space="preserve"> é a palavra usada pela PNED, </w:t>
      </w:r>
      <w:r>
        <w:rPr>
          <w:rFonts w:ascii="Times New Roman" w:hAnsi="Times New Roman"/>
          <w:sz w:val="24"/>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rPr>
        <w:t>no campo</w:t>
      </w:r>
      <w:r>
        <w:rPr>
          <w:rFonts w:ascii="Times New Roman" w:hAnsi="Times New Roman"/>
          <w:sz w:val="24"/>
        </w:rPr>
        <w:t>.</w:t>
      </w:r>
    </w:p>
    <w:p>
      <w:pPr>
        <w:spacing w:line="360" w:lineRule="auto"/>
        <w:ind w:firstLine="709"/>
        <w:jc w:val="both"/>
      </w:pPr>
      <w:r>
        <w:rPr>
          <w:rFonts w:ascii="Times New Roman" w:hAnsi="Times New Roman"/>
          <w:sz w:val="24"/>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rPr>
        <w:t>Como vimos na Introdução</w:t>
      </w:r>
      <w:r>
        <w:rPr>
          <w:rFonts w:ascii="Times New Roman" w:hAnsi="Times New Roman"/>
          <w:sz w:val="24"/>
        </w:rPr>
        <w:t>, Bowe, Ball e Gold (1992</w:t>
      </w:r>
      <w:r>
        <w:rPr>
          <w:rFonts w:ascii="Times New Roman" w:hAnsi="Times New Roman"/>
          <w:sz w:val="24"/>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rPr>
        <w:t>A teoria da atuação</w:t>
      </w:r>
      <w:r>
        <w:rPr>
          <w:rFonts w:ascii="Times New Roman" w:hAnsi="Times New Roman"/>
          <w:sz w:val="24"/>
        </w:rPr>
        <w:t xml:space="preserve"> ajuda a entender por que </w:t>
      </w:r>
      <w:r>
        <w:rPr>
          <w:rFonts w:ascii="Times New Roman" w:hAnsi="Times New Roman"/>
          <w:sz w:val="24"/>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rPr>
        <w:t xml:space="preserve">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189-191),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entram na análise como parte do contexto da política. As características sociais, históricas e institucionais do lugar interferem no modo de recepção, interpretação e recontextualização da política pelos profissionais.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rPr>
        <w:t xml:space="preserve">Como vimos na Introdução, Mainardes (2006) entende </w:t>
      </w:r>
      <w:r>
        <w:rPr>
          <w:rFonts w:ascii="Times New Roman" w:hAnsi="Times New Roman"/>
          <w:sz w:val="24"/>
        </w:rPr>
        <w:t xml:space="preserve">o contexto da prática </w:t>
      </w:r>
      <w:r>
        <w:rPr>
          <w:rFonts w:ascii="Times New Roman" w:hAnsi="Times New Roman"/>
          <w:sz w:val="24"/>
        </w:rPr>
        <w:t>como o lugar em que a política é interpretada e recriada e em que produz efeitos capazes de transformar significativamente a política original</w:t>
      </w:r>
      <w:r>
        <w:rPr>
          <w:rFonts w:ascii="Times New Roman" w:hAnsi="Times New Roman"/>
          <w:sz w:val="24"/>
        </w:rPr>
        <w:t xml:space="preserve">. No eixo Educação Digital Escolar, esse contexto reúne turmas do 1º ao 5º ano,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rPr>
        <w:t>atenção da teoria da atuação às dimensões do contexto e às respostas dos profissionais, que podem ir da adesão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sem serem debitadas na conta de cada profissional.</w:t>
      </w:r>
    </w:p>
    <w:p>
      <w:pPr>
        <w:spacing w:line="360" w:lineRule="auto"/>
        <w:ind w:firstLine="709"/>
        <w:jc w:val="both"/>
      </w:pPr>
      <w:r>
        <w:rPr>
          <w:rFonts w:ascii="Times New Roman" w:hAnsi="Times New Roman"/>
          <w:sz w:val="24"/>
        </w:rPr>
        <w:t>4.3.1 Culturas profissionais, performatividade e formas de atuação: a tese de partida e seus critérios</w:t>
      </w:r>
    </w:p>
    <w:p>
      <w:pPr>
        <w:spacing w:line="360" w:lineRule="auto"/>
        <w:ind w:firstLine="709"/>
        <w:jc w:val="both"/>
      </w:pPr>
      <w:r>
        <w:rPr>
          <w:rFonts w:ascii="Times New Roman" w:hAnsi="Times New Roman"/>
          <w:sz w:val="24"/>
        </w:rPr>
        <w:t xml:space="preserve">Antes de apresentar a tese de partida, um exemplo ajuda. Imaginemos uma escola que precisa mostrar à rede que trabalha educação digital com as turmas dos anos iniciais.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A tese de partida é que a PNED chega à escola como um conjunto de orientações que precisa ser lido e interpretado por quem trabalha nela, e que a forma assumida pela política no cotidiano escolar resulta da relação entre o que ela prescreve e as condições sob as quais os profissionais precisam atuar, atravessadas pelas condições materiais e institucionais, pelas culturas profissionais e pelo território. Essa compreensão não antecipa conclusões e se apoia no desenho da lei, examinado no Capítulo 5: o eixo de inclusão digital, no qual se inclui a conectividade das escolas, deve ser desenvolvido dentro dos limites orçamentários e da competência de cada órgão envolvido (BRASIL, 2023, art. 2º), e entre as fontes de recursos não há fundo próprio nem transferência obrigatória aos municípios (BRASIL, 2023, art. 11). Quando a política declara um direito, distribui entre os entes a provisão das condições e não garante sua chegada à escola, os profissionais precisam decidir o que fazer com a distância. Se parte dessa distância for coberta com meios próprios, o achado será lido como custo transferido pelo desenho da política e assumido por alguém em lugar do Estado, retirado do próprio bolso, do próprio celular ou do próprio tempo de descanso.</w:t>
      </w:r>
    </w:p>
    <w:p>
      <w:pPr>
        <w:spacing w:line="360" w:lineRule="auto"/>
        <w:ind w:firstLine="709"/>
        <w:jc w:val="both"/>
      </w:pPr>
      <w:r>
        <w:rPr>
          <w:rFonts w:ascii="Times New Roman" w:hAnsi="Times New Roman"/>
          <w:sz w:val="24"/>
        </w:rPr>
        <w:t>A tese de partida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rPr>
        <w:t>, e</w:t>
      </w:r>
      <w:r>
        <w:rPr>
          <w:rFonts w:ascii="Times New Roman" w:hAnsi="Times New Roman"/>
          <w:sz w:val="24"/>
        </w:rPr>
        <w:t xml:space="preserve"> a condição anunciada, seja o equipamento, a conexão ou a formação, </w:t>
      </w:r>
      <w:r>
        <w:rPr>
          <w:rFonts w:ascii="Times New Roman" w:hAnsi="Times New Roman"/>
          <w:sz w:val="24"/>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rPr>
        <w:t>; o vazio material nomeia uma condição inscrita no texto da lei, examinada no Capítulo 5. As formas de atuação dos profissionais dizem respeito à ação</w:t>
      </w:r>
      <w:r>
        <w:rPr>
          <w:rFonts w:ascii="Times New Roman" w:hAnsi="Times New Roman"/>
          <w:sz w:val="24"/>
        </w:rPr>
        <w:t xml:space="preserve">, e somente as narrativas podem </w:t>
      </w:r>
      <w:r>
        <w:rPr>
          <w:rFonts w:ascii="Times New Roman" w:hAnsi="Times New Roman"/>
          <w:sz w:val="24"/>
        </w:rPr>
        <w:t>mostrá-las</w:t>
      </w:r>
      <w:r>
        <w:rPr>
          <w:rFonts w:ascii="Times New Roman" w:hAnsi="Times New Roman"/>
          <w:sz w:val="24"/>
        </w:rPr>
        <w:t xml:space="preserve">, com os critérios fixados nesta subseção. As</w:t>
      </w:r>
      <w:r>
        <w:rPr>
          <w:rFonts w:ascii="Times New Roman" w:hAnsi="Times New Roman"/>
          <w:sz w:val="24"/>
        </w:rPr>
        <w:t xml:space="preserve"> condições chegam ao Capítulo 7 como condições documentadas; </w:t>
      </w:r>
      <w:r>
        <w:rPr>
          <w:rFonts w:ascii="Times New Roman" w:hAnsi="Times New Roman"/>
          <w:sz w:val="24"/>
        </w:rPr>
        <w:t>as formas de atuação, como pergunta</w:t>
      </w:r>
      <w:r>
        <w:rPr>
          <w:rFonts w:ascii="Times New Roman" w:hAnsi="Times New Roman"/>
          <w:sz w:val="24"/>
        </w:rPr>
        <w:t>.</w:t>
      </w:r>
    </w:p>
    <w:p>
      <w:pPr>
        <w:spacing w:line="360" w:lineRule="auto"/>
        <w:ind w:firstLine="709"/>
        <w:jc w:val="both"/>
      </w:pPr>
      <w:r>
        <w:rPr>
          <w:rFonts w:ascii="Times New Roman" w:hAnsi="Times New Roman"/>
          <w:sz w:val="24"/>
        </w:rPr>
        <w:t xml:space="preserve">As categorias de análise funcionam como lentes de leitura, abertas ao que o material trouxer. Seus critérios foram registrados antes da primeira entrevista e não serão alterados depois dela; qualquer mudança exigirá novo registro, datado e justificado. A análise fará o mapeamento da recontextualização, isto é, identificará nas narrativas e nos documentos as formas de atuação produzidas diante das orientações da PNED, sem pressupor a predominância de nenhuma. Algumas já têm nome na literatura. Na adesão, a orientação é assumida como própria; na acomodação, é cumprida com os meios disponíveis, sem que a escola a faça sua; na adaptação e na negociação, é ajustada às condições da turma ou discutida entre os profissionais. Na omissão seletiva, partes da orientação ficam fora do planejamento e da prática, e o relato indica por quê, seja por serem inexequíveis, seja por não fazerem sentido para a turma. Na tradução para fins locais, a orientação é refeita para servir à turma e à comunidade, como um trabalho de direitos digitais ligado à exposição da imagem das crianças num distrito turístico, e pode ganhar caráter de ressignificação. A resistência aparece quando a orientação é recusada ou contestada, de forma aberta ou não. Com Foucault, ela é lida como parte das relações de poder que a política mobiliza, já que essas relações “não são unívocas; definem inúmeros pontos de luta, focos de instabilidade comportando cada um seus riscos de conflito, de lutas e de inversão pelo menos transitória da relação de forças” (FOUCAULT, 1999, p. 29). A fabricação performativa (BALL, 2002) reúne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dessas formas. Outras que surgirem do material serão incorporadas à análise.</w:t>
      </w:r>
    </w:p>
    <w:p>
      <w:pPr>
        <w:spacing w:line="360" w:lineRule="auto"/>
        <w:ind w:firstLine="709"/>
        <w:jc w:val="both"/>
      </w:pPr>
      <w:r>
        <w:rPr>
          <w:rFonts w:ascii="Times New Roman" w:hAnsi="Times New Roman"/>
          <w:sz w:val="24"/>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rPr>
        <w:t>sozinho é uma forma de suprir a condição ausente</w:t>
      </w:r>
      <w:r>
        <w:rPr>
          <w:rFonts w:ascii="Times New Roman" w:hAnsi="Times New Roman"/>
          <w:sz w:val="24"/>
        </w:rPr>
        <w:t xml:space="preserve">. Ensinar o que já domina </w:t>
      </w:r>
      <w:r>
        <w:rPr>
          <w:rFonts w:ascii="Times New Roman" w:hAnsi="Times New Roman"/>
          <w:sz w:val="24"/>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w:t>
      </w:r>
      <w:r>
        <w:rPr>
          <w:rFonts w:ascii="Times New Roman" w:hAnsi="Times New Roman"/>
          <w:sz w:val="24"/>
        </w:rPr>
        <w:t>suposição</w:t>
      </w:r>
      <w:r>
        <w:rPr>
          <w:rFonts w:ascii="Times New Roman" w:hAnsi="Times New Roman"/>
          <w:sz w:val="24"/>
        </w:rPr>
        <w:t xml:space="preserv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Uma forma de atuação será registrada como achado quando</w:t>
      </w:r>
      <w:r>
        <w:rPr>
          <w:rFonts w:ascii="Times New Roman" w:hAnsi="Times New Roman"/>
          <w:sz w:val="24"/>
        </w:rPr>
        <w:t xml:space="preserve"> aparecer de forma recorrente</w:t>
      </w:r>
      <w:r>
        <w:rPr>
          <w:rFonts w:ascii="Times New Roman" w:hAnsi="Times New Roman"/>
          <w:sz w:val="24"/>
        </w:rPr>
        <w:t xml:space="preserve"> e</w:t>
      </w:r>
      <w:r>
        <w:rPr>
          <w:rFonts w:ascii="Times New Roman" w:hAnsi="Times New Roman"/>
          <w:sz w:val="24"/>
        </w:rPr>
        <w:t xml:space="preserve"> sem indução pela pergunta, </w:t>
      </w:r>
      <w:r>
        <w:rPr>
          <w:rFonts w:ascii="Times New Roman" w:hAnsi="Times New Roman"/>
          <w:sz w:val="24"/>
        </w:rPr>
        <w:t>e a análise buscará as condições a que ela se liga: o território, as culturas profissionais, a dimensão material, as pressões externas ou fatores de outra ordem</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rPr>
        <w:t>Nenhum resultado está excluído de antemão. Se as narrativas descreverem sobretudo adesão ou acomodação, esse será o achado. Se os profissionais descreverem a orientação da PNED como ambígua e o próprio trabalho como esforço de interpretá-la, a recontextualização da ACP já explicará o fenômeno. Se as formas de atuação não se ligarem ao território nem às culturas profissionais, a tese de partida será delimitada, e o capítulo de análise dirá em que medida.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as demais formas de atuação.</w:t>
      </w:r>
    </w:p>
    <w:p>
      <w:pPr>
        <w:spacing w:line="360" w:lineRule="auto"/>
        <w:ind w:firstLine="709"/>
        <w:jc w:val="both"/>
      </w:pPr>
      <w:r>
        <w:rPr>
          <w:rFonts w:ascii="Times New Roman" w:hAnsi="Times New Roman"/>
          <w:sz w:val="24"/>
        </w:rPr>
        <w:t xml:space="preserve">Algumas situações pedem cuidado. Se os profissionais afirmarem não haver alternativa, o quadro será nomeado como transferência de custo do Estado para o trabalhador, situação mais próxima da sobrevivência que da resistência. Essa distinção será examinada nas perguntas do Eixo 5 sobre o modo como o profissional entende as próprias decisões. Se as formas de atuação variarem conforme a posição institucional, na regência, no apoio à recomposição de aula, no apoio pedagógico, na coordenação ou na direção, essa variação será descrita como achado. A direção tem dois participantes, a coordenação, uma, e a Secretaria, um técnico, o que permite descrever essas posições sem generalizar sobre elas.</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rPr>
        <w:t>fazem</w:t>
      </w:r>
      <w:r>
        <w:rPr>
          <w:rFonts w:ascii="Times New Roman" w:hAnsi="Times New Roman"/>
          <w:sz w:val="24"/>
        </w:rPr>
        <w:t xml:space="preserve"> o eixo parecer em andamento e </w:t>
      </w:r>
      <w:r>
        <w:rPr>
          <w:rFonts w:ascii="Times New Roman" w:hAnsi="Times New Roman"/>
          <w:sz w:val="24"/>
        </w:rPr>
        <w:t>escondem</w:t>
      </w:r>
      <w:r>
        <w:rPr>
          <w:rFonts w:ascii="Times New Roman" w:hAnsi="Times New Roman"/>
          <w:sz w:val="24"/>
        </w:rPr>
        <w:t xml:space="preserve"> a falta dos meios devidos. É nesse </w:t>
      </w:r>
      <w:r>
        <w:rPr>
          <w:rFonts w:ascii="Times New Roman" w:hAnsi="Times New Roman"/>
          <w:sz w:val="24"/>
        </w:rPr>
        <w:t>ponto que a performatividade ganha peso analítico</w:t>
      </w:r>
      <w:r>
        <w:rPr>
          <w:rFonts w:ascii="Times New Roman" w:hAnsi="Times New Roman"/>
          <w:sz w:val="24"/>
        </w:rPr>
        <w:t>: quando o improviso funciona</w:t>
      </w:r>
      <w:r>
        <w:rPr>
          <w:rFonts w:ascii="Times New Roman" w:hAnsi="Times New Roman"/>
          <w:sz w:val="24"/>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w:t>
      </w:r>
      <w:r>
        <w:rPr>
          <w:rFonts w:ascii="Times New Roman" w:hAnsi="Times New Roman"/>
          <w:sz w:val="24"/>
        </w:rPr>
        <w:t>(Apêndices B e C) foram construídos para que cada movimento</w:t>
      </w:r>
      <w:r>
        <w:rPr>
          <w:rFonts w:ascii="Times New Roman" w:hAnsi="Times New Roman"/>
          <w:sz w:val="24"/>
        </w:rPr>
        <w:t xml:space="preserve"> tenha onde aparecer sem que a pergunta o produza. </w:t>
      </w:r>
      <w:r>
        <w:rPr>
          <w:rFonts w:ascii="Times New Roman" w:hAnsi="Times New Roman"/>
          <w:sz w:val="24"/>
        </w:rPr>
        <w:t>O roteiro das entrevistas tem seis eixos: trajetória e culturas profissionais; interpretação da política; tradução, com a dimensão material e o território; performatividade, com registros, metas e cobranças; formas de atuação diante da política;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As partes do roteiro dirigidas à coordenação, à direção</w:t>
      </w:r>
      <w:r>
        <w:rPr>
          <w:rFonts w:ascii="Times New Roman" w:hAnsi="Times New Roman"/>
          <w:sz w:val="24"/>
        </w:rPr>
        <w:t>, aos demais profissionais e ao técnico da Secretaria</w:t>
      </w:r>
      <w:r>
        <w:rPr>
          <w:rFonts w:ascii="Times New Roman" w:hAnsi="Times New Roman"/>
          <w:sz w:val="24"/>
        </w:rPr>
        <w:t xml:space="preserve"> recebem perguntas equivalentes, indispensáveis </w:t>
      </w:r>
      <w:r>
        <w:rPr>
          <w:rFonts w:ascii="Times New Roman" w:hAnsi="Times New Roman"/>
          <w:sz w:val="24"/>
        </w:rPr>
        <w:t>à comparação entre posições institucionais. 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rPr>
        <w:t>,</w:t>
      </w:r>
      <w:r>
        <w:rPr>
          <w:rFonts w:ascii="Times New Roman" w:hAnsi="Times New Roman"/>
          <w:sz w:val="24"/>
        </w:rPr>
        <w:t xml:space="preserve"> a frequência do trabalho feito fora da jornada</w:t>
      </w:r>
      <w:r>
        <w:rPr>
          <w:rFonts w:ascii="Times New Roman" w:hAnsi="Times New Roman"/>
          <w:sz w:val="24"/>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rPr>
        <w:t>romantizar o improviso</w:t>
      </w:r>
      <w:r>
        <w:rPr>
          <w:rFonts w:ascii="Times New Roman" w:hAnsi="Times New Roman"/>
          <w:sz w:val="24"/>
        </w:rPr>
        <w:t xml:space="preserve"> como resistência ou transformá-lo em falha de quem o realiza. Ball (2011, p. 46) adverte contra os estudos em que os sujeitos “emergem, resistentes e românticos, heróis althusserianos lutando contra a opressão”, e Freire (2019, p. 64-65) oferece o contrapeso à segunda leitura ao lembrar, em passagem já citada na Introdução, que o professor “precisa de condições favoráveis, higiênicas, espaciais, estéticas, sem as quais se move menos eficazmente no espaço pedagógico”.</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Se essas formas aparecerem, a análise mostrará também o</w:t>
      </w:r>
      <w:r>
        <w:rPr>
          <w:rFonts w:ascii="Times New Roman" w:hAnsi="Times New Roman"/>
          <w:sz w:val="24"/>
        </w:rPr>
        <w:t xml:space="preserve">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 xml:space="preserve">A pesquisa acontece na Escola Municipal Domitila Castelo da Silva,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 xml:space="preserve">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 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xml:space="preserve">. Ball, Maguire e Braun (2016, p. 74-75) registram essa diferença ao observar que “os atores nas escolas são posicionados de forma diferente e assumem posições diversas em relação à política”, e manteremos essa distinção durante toda a análise.</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w:t>
      </w:r>
      <w:r>
        <w:rPr>
          <w:rFonts w:ascii="Times New Roman" w:hAnsi="Times New Roman"/>
          <w:sz w:val="24"/>
        </w:rPr>
        <w:t xml:space="preserve">Um técnico da Secretaria Municipal de Educação, o coordenador de políticas públicas e programas educacionais do município, será ouvido como fonte complementar sobre o contexto externo, isto é, sobre como as orientações nacionais são recebidas e encaminhadas pela gestão municipal antes de chegar à escola; os documentos da Secretaria completam essa leitura, e a unidade do caso continua sendo a escola.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 xml:space="preserve">Participarão da pesquisa os profissionais da educação da Escola Municipal Domitila Castelo da Silva que atuam nos anos iniciais do Ensino Fundamental, do 1º ao 5º ano, e aceitarem o convite: as professoras e os professores regentes das quinze turmas, os dois docentes que atuam no apoio à recomposição de aula, os quatro profissionais do apoio pedagógico, a coordenadora pedagógica, a vice-diretora e o diretor, num total de 24 profissionais. Participa também um técnico da Secretaria Municipal de Educação, o coordenador de políticas públicas e programas educacionais do município, como fonte complementar, sem constituir um segundo caso.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 xml:space="preserve">Os docentes trabalham com as turmas do 1º ao 5º ano. Segundo o relatório de turmas da Secretaria de Educação de Tibau do Sul, a escola tem, em 2026, quinze turmas nos anos iniciais, três em cada ano de escolaridade, sete no turno matutino e oito no vespertino, com 351 crianças matriculadas: 62 no 1º ano, 66 no 2º, 68 no 3º, 81 no 4º e 74 no 5º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Mesmo sem ouvi-las, é por elas que esta pesquisa existe.</w:t>
      </w:r>
    </w:p>
    <w:p>
      <w:pPr>
        <w:spacing w:line="360" w:lineRule="auto"/>
        <w:ind w:firstLine="709"/>
        <w:jc w:val="both"/>
      </w:pPr>
      <w:r>
        <w:rPr>
          <w:rFonts w:ascii="Times New Roman" w:hAnsi="Times New Roman"/>
          <w:sz w:val="24"/>
        </w:rPr>
        <w:t xml:space="preserve">Completam o grupo os dois docentes do apoio à recomposição de aula, os quatro profissionais do apoio pedagógico, a coordenadora pedagógica, a vice-diretora e o diretor,</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cada qual com as responsabilidades, as condições e as possibilidades de ação próprias da função.</w:t>
      </w:r>
    </w:p>
    <w:p>
      <w:pPr>
        <w:spacing w:line="360" w:lineRule="auto"/>
        <w:ind w:firstLine="709"/>
        <w:jc w:val="both"/>
      </w:pPr>
      <w:r>
        <w:rPr>
          <w:rFonts w:ascii="Times New Roman" w:hAnsi="Times New Roman"/>
          <w:sz w:val="24"/>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Os dados serão construídos em cinco movimentos, apresentados nas subseções seguintes e na seção 4.5. O primeiro é a análise documental, que começa com a entrada no campo, quando os documentos são solicitados à escola e à Secretaria, e acompanha todo o percurso. O segundo, o registro iconográfico, já foi realizado e sustenta o Capítulo 6. O terceiro é o questionário de perfil e percepções, que situa os participantes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O quarto movimento são as entrevistas semiestruturadas, que só começam depois da sistematização do questionário e nas quais aparecem as interpretações, os sentidos e as justificativas dos profissionais. O quinto reúne as fontes na análise temática reflexiva e se encerra com a devolutiva dos resultados à escola e à Secretaria.</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rPr>
        <w:t>4.4.3 Primeiro movimento: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dois conjuntos, com finalidades diferentes. O primeiro, pedagógico e institucional, reúne o Projeto Político-Pedagógico (PPP), planos de aula das turmas </w:t>
      </w:r>
      <w:r>
        <w:rPr>
          <w:rFonts w:ascii="Times New Roman" w:hAnsi="Times New Roman"/>
          <w:sz w:val="24"/>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rPr>
        <w:t>4.4.4 Segundo movimento: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A (Caderno Iconográfico da Pesquisa), reúne as trinta e </w:t>
      </w:r>
      <w:r>
        <w:rPr>
          <w:rFonts w:ascii="Times New Roman" w:hAnsi="Times New Roman"/>
          <w:sz w:val="24"/>
        </w:rPr>
        <w:t>oito</w:t>
      </w:r>
      <w:r>
        <w:rPr>
          <w:rFonts w:ascii="Times New Roman" w:hAnsi="Times New Roman"/>
          <w:sz w:val="24"/>
        </w:rPr>
        <w:t xml:space="preserve"> figuras analisadas no Capítulo 6, entre fotografias</w:t>
      </w:r>
      <w:r>
        <w:rPr>
          <w:rFonts w:ascii="Times New Roman" w:hAnsi="Times New Roman"/>
          <w:sz w:val="24"/>
        </w:rPr>
        <w:t xml:space="preserve"> e mapas de localização</w:t>
      </w:r>
      <w:r>
        <w:rPr>
          <w:rFonts w:ascii="Times New Roman" w:hAnsi="Times New Roman"/>
          <w:sz w:val="24"/>
        </w:rPr>
        <w:t>, e duas peças cartográficas complementares, identificadas como A.1 e A.2,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 xml:space="preserve">No índice do Apêndice A,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da Silva;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ind w:firstLine="709"/>
        <w:jc w:val="both"/>
      </w:pPr>
      <w:r>
        <w:rPr>
          <w:rFonts w:ascii="Times New Roman" w:hAnsi="Times New Roman"/>
          <w:sz w:val="24"/>
        </w:rPr>
        <w:t>4.4.5 Terceiro movimento: questionário de perfil e percepções</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 xml:space="preserve">O questionário serve para situar as pessoas e ajustar as conversas, e é esse o seu alcance.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w:t>
      </w:r>
      <w:r>
        <w:rPr>
          <w:rFonts w:ascii="Times New Roman" w:hAnsi="Times New Roman"/>
          <w:sz w:val="24"/>
        </w:rPr>
        <w:t>(Apêndice B) tem cinco</w:t>
      </w:r>
      <w:r>
        <w:rPr>
          <w:rFonts w:ascii="Times New Roman" w:hAnsi="Times New Roman"/>
          <w:sz w:val="24"/>
        </w:rPr>
        <w:t xml:space="preserve"> blocos temáticos, ligados às dimensões </w:t>
      </w:r>
      <w:r>
        <w:rPr>
          <w:rFonts w:ascii="Times New Roman" w:hAnsi="Times New Roman"/>
          <w:sz w:val="24"/>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rPr>
        <w:t>4.4.6 Quarto movimento: entrevistas semiestruturadas</w:t>
      </w:r>
    </w:p>
    <w:p>
      <w:pPr>
        <w:spacing w:line="360" w:lineRule="auto"/>
        <w:ind w:firstLine="709"/>
        <w:jc w:val="both"/>
      </w:pPr>
      <w:r>
        <w:rPr>
          <w:rFonts w:ascii="Times New Roman" w:hAnsi="Times New Roman"/>
          <w:sz w:val="24"/>
        </w:rPr>
        <w:t>As entrevistas semiestruturadas são o principal momento de escuta. Serão individuais, com duração aproximada de 60 a 90 minutos, realizadas em espaço reservado, gravadas com o consentimento dos participantes e transcritas integralmente. O roteiro (Apêndice C) tem os seis eixos descritos na seção 4.3: trajetória e culturas profissionais; interpretação da política; tradução, com a dimensão material e o território; performatividade, com registros, metas e cobranças; formas de atuação diante da política; e habitar o digital e direitos da criança. Com os profissionais da escola, as perguntas tratam de suas experiências, da compreensão que têm da PNED, das condições de trabalho e das relações profissionais, das possibilidades de tradução da política, das demandas institucionais e das experiências das crianças com as tecnologias.</w:t>
      </w:r>
    </w:p>
    <w:p>
      <w:pPr>
        <w:spacing w:line="360" w:lineRule="auto"/>
        <w:ind w:firstLine="709"/>
        <w:jc w:val="both"/>
      </w:pPr>
      <w:r>
        <w:rPr>
          <w:rFonts w:ascii="Times New Roman" w:hAnsi="Times New Roman"/>
          <w:sz w:val="24"/>
        </w:rPr>
        <w:t>Com o técnico da Secretaria Municipal de Educação, o roteiro aborda a compreensão municipal da PNED, as orientações repassadas às escolas, as ações realizadas, os processos de formação, as formas de acompanhamento, as condições oferecidas às unidades escolares e as dificuldades e possibilidades percebidas. Essa escuta ajuda a compreender como a política é recebida e traduzida no âmbito municipal antes de chegar à escola. Em todos os casos, as perguntas abertas precedem as diretas, e as noções de resistência, performatividade e fabricação não serão apresentadas aos participantes, para que eles descrevam suas experiências nos próprios termos.</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w:t>
      </w:r>
    </w:p>
    <w:p>
      <w:pPr>
        <w:spacing w:line="360" w:lineRule="auto"/>
        <w:ind w:firstLine="709"/>
        <w:jc w:val="both"/>
      </w:pPr>
      <w:r>
        <w:rPr>
          <w:rFonts w:ascii="Times New Roman" w:hAnsi="Times New Roman"/>
          <w:sz w:val="24"/>
        </w:rPr>
        <w:t>4.5.1 O percurso analítico: quinto movimento</w:t>
      </w:r>
    </w:p>
    <w:p>
      <w:pPr>
        <w:spacing w:line="360" w:lineRule="auto"/>
        <w:ind w:firstLine="709"/>
        <w:jc w:val="both"/>
      </w:pPr>
      <w:r>
        <w:rPr>
          <w:rFonts w:ascii="Times New Roman" w:hAnsi="Times New Roman"/>
          <w:sz w:val="24"/>
        </w:rPr>
        <w:t xml:space="preserve">As fases da análise temática reflexiva (BRAUN; CLARKE, 2006, 2019) serão reunidas, nesta pesquisa, em três etapas: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rPr>
        <w:t>A matriz inicial tem oito dimensões sensibilizadoras. Quatro vêm das dimensões do contexto propostas pela teoria da atuação: situacional, culturas profissionais, lidas em seu conteúdo e em sua forma (HARGREAVES, 2005), material e externa. Três dizem respeito ao que a seção 4.3 descreve: a interpretação do texto legal; as formas de atuação, da adesão à resistência, incluindo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rPr>
        <w:t>na dimensão material</w:t>
      </w:r>
      <w:r>
        <w:rPr>
          <w:rFonts w:ascii="Times New Roman" w:hAnsi="Times New Roman"/>
          <w:sz w:val="24"/>
        </w:rPr>
        <w:t xml:space="preserve">, e a formação será lida também como condição cuja ausência pode </w:t>
      </w:r>
      <w:r>
        <w:rPr>
          <w:rFonts w:ascii="Times New Roman" w:hAnsi="Times New Roman"/>
          <w:sz w:val="24"/>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rPr>
        <w:t>dimensões do contexto e as respostas dos profissionais</w:t>
      </w:r>
      <w:r>
        <w:rPr>
          <w:rFonts w:ascii="Times New Roman" w:hAnsi="Times New Roman"/>
          <w:sz w:val="24"/>
        </w:rPr>
        <w:t xml:space="preserve"> e ajuda a entender a participação </w:t>
      </w:r>
      <w:r>
        <w:rPr>
          <w:rFonts w:ascii="Times New Roman" w:hAnsi="Times New Roman"/>
          <w:sz w:val="24"/>
        </w:rPr>
        <w:t>deles</w:t>
      </w:r>
      <w:r>
        <w:rPr>
          <w:rFonts w:ascii="Times New Roman" w:hAnsi="Times New Roman"/>
          <w:sz w:val="24"/>
        </w:rPr>
        <w:t xml:space="preserve"> na produção dos sentidos da política na escola. </w:t>
      </w:r>
      <w:r>
        <w:rPr>
          <w:rFonts w:ascii="Times New Roman" w:hAnsi="Times New Roman"/>
          <w:sz w:val="24"/>
        </w:rPr>
        <w:t>As formas de atuação identificadas, da adesão à resistência, darão nome a essas maneiras de participar da</w:t>
      </w:r>
      <w:r>
        <w:rPr>
          <w:rFonts w:ascii="Times New Roman" w:hAnsi="Times New Roman"/>
          <w:sz w:val="24"/>
        </w:rPr>
        <w:t xml:space="preserve">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rPr>
        <w:t>Braun e Clarke (2019) lembram que a reflexividade é parte inseparável da análise. Na análise temática reflexiva, como vimos na Introdução, a subjetividade de quem analisa é tratada como recurso analítico, que precisa ser explicitado ao longo do processo.</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rPr>
        <w:t>registrar uma forma de atuação como achado</w:t>
      </w:r>
      <w:r>
        <w:rPr>
          <w:rFonts w:ascii="Times New Roman" w:hAnsi="Times New Roman"/>
          <w:sz w:val="24"/>
        </w:rPr>
        <w:t xml:space="preserve">, porém, exigimos recorrência, conforme a seção 4.3. Há aqui uma tensão assumida: uma </w:t>
      </w:r>
      <w:r>
        <w:rPr>
          <w:rFonts w:ascii="Times New Roman" w:hAnsi="Times New Roman"/>
          <w:sz w:val="24"/>
        </w:rPr>
        <w:t>afirmação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 xml:space="preserve">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da Silva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 xml:space="preserve">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da Silva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O quarto é a reflexividade da pesquisadora, registrada ao longo do trabalho no diário de campo. Esse material alimentará a Declaração de Reflexividade do Apêndice D,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rPr>
        <w:t>de leitura das formas de atuação,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 xml:space="preserve">Vêm então quatro semanas, núcleo da produção dos dados orais e documentais. Na primeira quinzena, entrevistaremos a coordenadora pedagógica, a vice-diretora, o diretor e o técnico da Secretaria Municipal de Educação,</w:t>
      </w:r>
      <w:r>
        <w:rPr>
          <w:rFonts w:ascii="Times New Roman" w:hAnsi="Times New Roman"/>
          <w:sz w:val="24"/>
        </w:rPr>
        <w:t xml:space="preserve"/>
      </w:r>
      <w:r>
        <w:rPr>
          <w:rFonts w:ascii="Times New Roman" w:hAnsi="Times New Roman"/>
          <w:sz w:val="24"/>
        </w:rPr>
        <w:t xml:space="preserve"> para mapear o quadro institucional que orienta o acompanhamento da política </w:t>
      </w:r>
      <w:r>
        <w:rPr>
          <w:rFonts w:ascii="Times New Roman" w:hAnsi="Times New Roman"/>
          <w:sz w:val="24"/>
        </w:rPr>
        <w:t>na escola</w:t>
      </w:r>
      <w:r>
        <w:rPr>
          <w:rFonts w:ascii="Times New Roman" w:hAnsi="Times New Roman"/>
          <w:sz w:val="24"/>
        </w:rPr>
        <w:t xml:space="preserve">. Na segunda, faremos as entrevistas individuais com os </w:t>
      </w:r>
      <w:r>
        <w:rPr>
          <w:rFonts w:ascii="Times New Roman" w:hAnsi="Times New Roman"/>
          <w:sz w:val="24"/>
        </w:rPr>
        <w:t>docentes das turmas do 1º ao 5º ano e com os demais profissionais</w:t>
      </w:r>
      <w:r>
        <w:rPr>
          <w:rFonts w:ascii="Times New Roman" w:hAnsi="Times New Roman"/>
          <w:sz w:val="24"/>
        </w:rPr>
        <w:t>, em ambiente reservado e com gravação em áudio consentida</w:t>
      </w:r>
      <w:r>
        <w:rPr>
          <w:rFonts w:ascii="Times New Roman" w:hAnsi="Times New Roman"/>
          <w:sz w:val="24"/>
        </w:rPr>
        <w:t>. Se o número de participantes exigir, essa etapa será estendida</w:t>
      </w:r>
      <w:r>
        <w:rPr>
          <w:rFonts w:ascii="Times New Roman" w:hAnsi="Times New Roman"/>
          <w:sz w:val="24"/>
        </w:rPr>
        <w:t>.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rPr>
        <w:t xml:space="preserve">), a amostragem intencional tem validade dentro de um contexto específico e não autoriza a generalização dos resultados para a população.</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D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rPr>
        <w:t>4.6 SÍNTESE DO CAPÍTULO</w:t>
      </w:r>
    </w:p>
    <w:p>
      <w:pPr>
        <w:spacing w:line="360" w:lineRule="auto"/>
        <w:ind w:firstLine="709"/>
        <w:jc w:val="both"/>
      </w:pPr>
      <w:r>
        <w:rPr>
          <w:rFonts w:ascii="Times New Roman" w:hAnsi="Times New Roman"/>
          <w:sz w:val="24"/>
        </w:rPr>
        <w:t xml:space="preserve">Com esse desenho, cada capítulo de análise contribui para responder à questão norteadora. O Capítulo 5 examina o que a política promete e com que meios. O Capítulo 6 caracteriza as condições de recepção na escola e no território. O Capítulo 7 ouvirá quem trabalha na distância entre uma coisa e outra e mostrará, pelos critérios da seção 4.3, que formas de atuação a PNED encontra na escola e em que condições elas aparecem. Qualquer que seja o resultado, ele trará uma resposta à questão da tese, e as implicações dessas formas de atuação para a provisão, a proteção e a participação das crianças no ambiente digital serão discutidas a partir dele. Nas turmas do 1º ao 5º ano, crianças de seis a dez anos se alfabetizam ou consolidam a leitura e a escrita enquanto aprendem a conviver com o digital,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 xml:space="preserve">ANDRÉ, Marli Eliza Dalmazo Afonso de. </w:t>
      </w:r>
      <w:r>
        <w:rPr>
          <w:b/>
          <w:rFonts w:ascii="Times New Roman" w:hAnsi="Times New Roman"/>
          <w:sz w:val="24"/>
        </w:rPr>
        <w:t xml:space="preserve">Estudo de caso em pesquisa e avaliação educacional</w:t>
      </w:r>
      <w:r>
        <w:rPr>
          <w:rFonts w:ascii="Times New Roman" w:hAnsi="Times New Roman"/>
          <w:sz w:val="24"/>
        </w:rPr>
        <w:t xml:space="preserve">. Brasília, DF: Líber Livro, 2005.</w:t>
      </w:r>
    </w:p>
    <w:p>
      <w:pPr>
        <w:spacing w:line="360" w:lineRule="auto"/>
        <w:ind w:firstLine="709"/>
        <w:jc w:val="left"/>
      </w:pPr>
      <w:r>
        <w:rPr>
          <w:rFonts w:ascii="Times New Roman" w:hAnsi="Times New Roman"/>
          <w:sz w:val="24"/>
        </w:rPr>
        <w:t xml:space="preserve">BALL, Stephen J. Reformar escolas/reformar professores e os terrores da performatividade. </w:t>
      </w:r>
      <w:r>
        <w:rPr>
          <w:b/>
          <w:rFonts w:ascii="Times New Roman" w:hAnsi="Times New Roman"/>
          <w:sz w:val="24"/>
        </w:rPr>
        <w:t xml:space="preserve">Revista Portuguesa de Educação</w:t>
      </w:r>
      <w:r>
        <w:rPr>
          <w:rFonts w:ascii="Times New Roman" w:hAnsi="Times New Roman"/>
          <w:sz w:val="24"/>
        </w:rPr>
        <w:t xml:space="preserve">, Braga, v. 15, n. 2, p. 3-23, 2002.</w:t>
      </w:r>
    </w:p>
    <w:p>
      <w:pPr>
        <w:spacing w:line="240" w:lineRule="auto" w:after="240"/>
        <w:jc w:val="left"/>
      </w:pPr>
      <w:r>
        <w:rPr>
          <w:rFonts w:ascii="Times New Roman" w:hAnsi="Times New Roman"/>
          <w:sz w:val="24"/>
        </w:rPr>
        <w:t xml:space="preserve">BALL, Stephen J. Performatividade, privatização e o pós-Estado do bem-estar. </w:t>
      </w:r>
      <w:r>
        <w:rPr>
          <w:b/>
          <w:rFonts w:ascii="Times New Roman" w:hAnsi="Times New Roman"/>
          <w:sz w:val="24"/>
        </w:rPr>
        <w:t xml:space="preserve">Educação &amp; Sociedade</w:t>
      </w:r>
      <w:r>
        <w:rPr>
          <w:rFonts w:ascii="Times New Roman" w:hAnsi="Times New Roman"/>
          <w:sz w:val="24"/>
        </w:rPr>
        <w:t xml:space="preserve">, Campinas, v. 25, n. 89, p. 1105-1126, set./dez. 2004. DOI: https://doi.org/10.1590/S0101-73302004000400002.</w:t>
      </w:r>
    </w:p>
    <w:p>
      <w:pPr>
        <w:spacing w:line="240" w:lineRule="auto" w:after="240"/>
        <w:jc w:val="left"/>
      </w:pPr>
      <w:r>
        <w:rPr>
          <w:rFonts w:ascii="Times New Roman" w:hAnsi="Times New Roman"/>
          <w:sz w:val="24"/>
        </w:rPr>
        <w:t xml:space="preserve">BALL, Stephen J. </w:t>
      </w:r>
      <w:r>
        <w:rPr>
          <w:b/>
          <w:rFonts w:ascii="Times New Roman" w:hAnsi="Times New Roman"/>
          <w:sz w:val="24"/>
        </w:rPr>
        <w:t xml:space="preserve">The education debate</w:t>
      </w:r>
      <w:r>
        <w:rPr>
          <w:rFonts w:ascii="Times New Roman" w:hAnsi="Times New Roman"/>
          <w:sz w:val="24"/>
        </w:rPr>
        <w:t xml:space="preserve">. Bristol: The Policy Press, 2008.</w:t>
      </w:r>
    </w:p>
    <w:p>
      <w:pPr>
        <w:spacing w:line="240" w:lineRule="auto" w:after="240"/>
        <w:jc w:val="left"/>
      </w:pPr>
      <w:r>
        <w:rPr>
          <w:rFonts w:ascii="Times New Roman" w:hAnsi="Times New Roman"/>
          <w:sz w:val="24"/>
        </w:rPr>
        <w:t xml:space="preserve">BALL, Stephen J. Sociologia das políticas educacionais e pesquisa crítico-social: uma revisão pessoal das políticas educacionais e da pesquisa em política educacional. In: BALL, Stephen J.; MAINARDES, Jefferson (org.). </w:t>
      </w:r>
      <w:r>
        <w:rPr>
          <w:b/>
          <w:rFonts w:ascii="Times New Roman" w:hAnsi="Times New Roman"/>
          <w:sz w:val="24"/>
        </w:rPr>
        <w:t xml:space="preserve">Políticas educacionais</w:t>
      </w:r>
      <w:r>
        <w:rPr>
          <w:rFonts w:ascii="Times New Roman" w:hAnsi="Times New Roman"/>
          <w:sz w:val="24"/>
        </w:rPr>
        <w:t xml:space="preserve">: questões e dilemas. São Paulo: Cortez, 2011. p. 21-53.</w:t>
      </w:r>
    </w:p>
    <w:p>
      <w:pPr>
        <w:spacing w:line="240" w:lineRule="auto" w:after="240"/>
        <w:jc w:val="left"/>
      </w:pPr>
      <w:r>
        <w:rPr>
          <w:rFonts w:ascii="Times New Roman" w:hAnsi="Times New Roman"/>
          <w:sz w:val="24"/>
        </w:rPr>
        <w:t xml:space="preserve">BALL, Stephen J.; MAGUIRE, Meg; BRAUN, Annette. </w:t>
      </w:r>
      <w:r>
        <w:rPr>
          <w:b/>
          <w:rFonts w:ascii="Times New Roman" w:hAnsi="Times New Roman"/>
          <w:sz w:val="24"/>
        </w:rPr>
        <w:t xml:space="preserve">Como as escolas fazem as políticas</w:t>
      </w:r>
      <w:r>
        <w:rPr>
          <w:rFonts w:ascii="Times New Roman" w:hAnsi="Times New Roman"/>
          <w:sz w:val="24"/>
        </w:rPr>
        <w:t xml:space="preserve">: atuação em escolas secundárias. Tradução de Janete Bridon. Ponta Grossa: Editora UEPG, 2016.</w:t>
      </w:r>
    </w:p>
    <w:p>
      <w:pPr>
        <w:spacing w:line="240" w:lineRule="auto" w:after="240"/>
        <w:jc w:val="left"/>
      </w:pPr>
      <w:r>
        <w:rPr>
          <w:rFonts w:ascii="Times New Roman" w:hAnsi="Times New Roman"/>
          <w:sz w:val="24"/>
        </w:rPr>
        <w:t xml:space="preserve">BOGDAN, Robert C.; BIKLEN, Sari Knopp. </w:t>
      </w:r>
      <w:r>
        <w:rPr>
          <w:b/>
          <w:rFonts w:ascii="Times New Roman" w:hAnsi="Times New Roman"/>
          <w:sz w:val="24"/>
        </w:rPr>
        <w:t xml:space="preserve">Qualitative research for education</w:t>
      </w:r>
      <w:r>
        <w:rPr>
          <w:rFonts w:ascii="Times New Roman" w:hAnsi="Times New Roman"/>
          <w:sz w:val="24"/>
        </w:rPr>
        <w:t xml:space="preserve">: an introduction to theory and methods. 5. ed. Boston: Pearson/Allyn &amp; Bacon, 2007.</w:t>
      </w:r>
    </w:p>
    <w:p>
      <w:pPr>
        <w:spacing w:line="240" w:lineRule="auto" w:after="240"/>
        <w:jc w:val="left"/>
      </w:pPr>
      <w:r>
        <w:rPr>
          <w:rFonts w:ascii="Times New Roman" w:hAnsi="Times New Roman"/>
          <w:sz w:val="24"/>
        </w:rPr>
        <w:t xml:space="preserve">BOWE, Richard; BALL, Stephen J.; GOLD, Anne. </w:t>
      </w:r>
      <w:r>
        <w:rPr>
          <w:b/>
          <w:rFonts w:ascii="Times New Roman" w:hAnsi="Times New Roman"/>
          <w:sz w:val="24"/>
        </w:rPr>
        <w:t xml:space="preserve">Reforming education and changing schools</w:t>
      </w:r>
      <w:r>
        <w:rPr>
          <w:rFonts w:ascii="Times New Roman" w:hAnsi="Times New Roman"/>
          <w:sz w:val="24"/>
        </w:rPr>
        <w:t xml:space="preserve">: case studies in policy sociology. London: Routledge, 1992.</w:t>
      </w:r>
    </w:p>
    <w:p>
      <w:pPr>
        <w:spacing w:line="240" w:lineRule="auto" w:after="240"/>
        <w:jc w:val="left"/>
      </w:pPr>
      <w:r>
        <w:rPr>
          <w:rFonts w:ascii="Times New Roman" w:hAnsi="Times New Roman"/>
          <w:sz w:val="24"/>
        </w:rPr>
        <w:t xml:space="preserve">BRASIL. Lei nº 9.394, de 20 de dezembro de 1996. Estabelece as diretrizes e bases da educação nacional. Brasília, DF: </w:t>
      </w:r>
      <w:r>
        <w:rPr>
          <w:b/>
          <w:rFonts w:ascii="Times New Roman" w:hAnsi="Times New Roman"/>
          <w:sz w:val="24"/>
        </w:rPr>
        <w:t xml:space="preserve">Diário Oficial da União</w:t>
      </w:r>
      <w:r>
        <w:rPr>
          <w:rFonts w:ascii="Times New Roman" w:hAnsi="Times New Roman"/>
          <w:sz w:val="24"/>
        </w:rPr>
        <w:t xml:space="preserve">, 1996.</w:t>
      </w:r>
    </w:p>
    <w:p>
      <w:pPr>
        <w:spacing w:line="240" w:lineRule="auto" w:after="240"/>
        <w:jc w:val="left"/>
      </w:pPr>
      <w:r>
        <w:rPr>
          <w:rFonts w:ascii="Times New Roman" w:hAnsi="Times New Roman"/>
          <w:sz w:val="24"/>
        </w:rPr>
        <w:t xml:space="preserve">BRASIL. Conselho Nacional de Saúde. Resolução nº 466, de 12 de dezembro de 2012. </w:t>
      </w:r>
      <w:r>
        <w:rPr>
          <w:b/>
          <w:rFonts w:ascii="Times New Roman" w:hAnsi="Times New Roman"/>
          <w:sz w:val="24"/>
        </w:rPr>
        <w:t xml:space="preserve">Diário Oficial da União</w:t>
      </w:r>
      <w:r>
        <w:rPr>
          <w:rFonts w:ascii="Times New Roman" w:hAnsi="Times New Roman"/>
          <w:sz w:val="24"/>
        </w:rPr>
        <w:t xml:space="preserve">: Brasília, DF, 13 jun. 2013.</w:t>
      </w:r>
    </w:p>
    <w:p>
      <w:pPr>
        <w:spacing w:line="240" w:lineRule="auto" w:after="240"/>
        <w:jc w:val="left"/>
      </w:pPr>
      <w:r>
        <w:rPr>
          <w:rFonts w:ascii="Times New Roman" w:hAnsi="Times New Roman"/>
          <w:sz w:val="24"/>
        </w:rPr>
        <w:t xml:space="preserve">BRASIL. Conselho Nacional de Saúde. Resolução nº 510, de 7 de abril de 2016. </w:t>
      </w:r>
      <w:r>
        <w:rPr>
          <w:b/>
          <w:rFonts w:ascii="Times New Roman" w:hAnsi="Times New Roman"/>
          <w:sz w:val="24"/>
        </w:rPr>
        <w:t xml:space="preserve">Diário Oficial da União</w:t>
      </w:r>
      <w:r>
        <w:rPr>
          <w:rFonts w:ascii="Times New Roman" w:hAnsi="Times New Roman"/>
          <w:sz w:val="24"/>
        </w:rPr>
        <w:t xml:space="preserve">: Brasília, DF, 24 maio 2016.</w:t>
      </w:r>
    </w:p>
    <w:p>
      <w:pPr>
        <w:spacing w:line="240" w:lineRule="auto" w:after="240"/>
        <w:jc w:val="left"/>
      </w:pPr>
      <w:r>
        <w:rPr>
          <w:rFonts w:ascii="Times New Roman" w:hAnsi="Times New Roman"/>
          <w:sz w:val="24"/>
        </w:rPr>
        <w:t xml:space="preserve">BRASIL. Lei nº 14.180, de 1º de julho de 2021. Institui a Política de Inovação Educação Conectada. </w:t>
      </w:r>
      <w:r>
        <w:rPr>
          <w:b/>
          <w:rFonts w:ascii="Times New Roman" w:hAnsi="Times New Roman"/>
          <w:sz w:val="24"/>
        </w:rPr>
        <w:t xml:space="preserve">Diário Oficial da União</w:t>
      </w:r>
      <w:r>
        <w:rPr>
          <w:rFonts w:ascii="Times New Roman" w:hAnsi="Times New Roman"/>
          <w:sz w:val="24"/>
        </w:rPr>
        <w:t xml:space="preserve">: Brasília, DF, 2 jul. 2021.</w:t>
      </w:r>
    </w:p>
    <w:p>
      <w:pPr>
        <w:spacing w:line="240" w:lineRule="auto" w:after="240"/>
        <w:jc w:val="left"/>
      </w:pPr>
      <w:r>
        <w:rPr>
          <w:rFonts w:ascii="Times New Roman" w:hAnsi="Times New Roman"/>
          <w:sz w:val="24"/>
        </w:rPr>
        <w:t xml:space="preserve">BRASIL. Lei nº 14.533, de 11 de janeiro de 2023. Institui a Política Nacional de Educação Digital. </w:t>
      </w:r>
      <w:r>
        <w:rPr>
          <w:b/>
          <w:rFonts w:ascii="Times New Roman" w:hAnsi="Times New Roman"/>
          <w:sz w:val="24"/>
        </w:rPr>
        <w:t xml:space="preserve">Diário Oficial da União</w:t>
      </w:r>
      <w:r>
        <w:rPr>
          <w:rFonts w:ascii="Times New Roman" w:hAnsi="Times New Roman"/>
          <w:sz w:val="24"/>
        </w:rPr>
        <w:t xml:space="preserve">: Brasília, DF, 12 jan. 2023.</w:t>
      </w:r>
    </w:p>
    <w:p>
      <w:pPr>
        <w:spacing w:line="240" w:lineRule="auto" w:after="240"/>
        <w:jc w:val="left"/>
      </w:pPr>
      <w:r>
        <w:rPr>
          <w:rFonts w:ascii="Times New Roman" w:hAnsi="Times New Roman"/>
          <w:sz w:val="24"/>
        </w:rPr>
        <w:t xml:space="preserve">BRASIL. Lei nº 14.817, de 16 de janeiro de 2024. Estabelece diretrizes para a valorização dos profissionais da educação escolar básica pública. Brasília, DF: </w:t>
      </w:r>
      <w:r>
        <w:rPr>
          <w:b/>
          <w:rFonts w:ascii="Times New Roman" w:hAnsi="Times New Roman"/>
          <w:sz w:val="24"/>
        </w:rPr>
        <w:t xml:space="preserve">Diário Oficial da União</w:t>
      </w:r>
      <w:r>
        <w:rPr>
          <w:rFonts w:ascii="Times New Roman" w:hAnsi="Times New Roman"/>
          <w:sz w:val="24"/>
        </w:rPr>
        <w:t xml:space="preserve">, 2024.</w:t>
      </w:r>
    </w:p>
    <w:p>
      <w:pPr>
        <w:spacing w:line="240" w:lineRule="auto" w:after="240"/>
        <w:jc w:val="left"/>
      </w:pPr>
      <w:r>
        <w:rPr>
          <w:rFonts w:ascii="Times New Roman" w:hAnsi="Times New Roman"/>
          <w:sz w:val="24"/>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w:t>
      </w:r>
      <w:r>
        <w:rPr>
          <w:b/>
          <w:rFonts w:ascii="Times New Roman" w:hAnsi="Times New Roman"/>
          <w:sz w:val="24"/>
        </w:rPr>
        <w:t xml:space="preserve">Diário Oficial da União</w:t>
      </w:r>
      <w:r>
        <w:rPr>
          <w:rFonts w:ascii="Times New Roman" w:hAnsi="Times New Roman"/>
          <w:sz w:val="24"/>
        </w:rPr>
        <w:t xml:space="preserve">, 2025.</w:t>
      </w:r>
    </w:p>
    <w:p>
      <w:pPr>
        <w:spacing w:line="240" w:lineRule="auto" w:after="240"/>
        <w:jc w:val="left"/>
      </w:pPr>
      <w:r>
        <w:rPr>
          <w:rFonts w:ascii="Times New Roman" w:hAnsi="Times New Roman"/>
          <w:sz w:val="24"/>
        </w:rPr>
        <w:t xml:space="preserve">BRASIL. Ministério da Educação. </w:t>
      </w:r>
      <w:r>
        <w:rPr>
          <w:b/>
          <w:rFonts w:ascii="Times New Roman" w:hAnsi="Times New Roman"/>
          <w:sz w:val="24"/>
        </w:rPr>
        <w:t xml:space="preserve">Base Nacional Comum Curricular</w:t>
      </w:r>
      <w:r>
        <w:rPr>
          <w:rFonts w:ascii="Times New Roman" w:hAnsi="Times New Roman"/>
          <w:sz w:val="24"/>
        </w:rPr>
        <w:t xml:space="preserve">. Brasília, DF: MEC, 2018.</w:t>
      </w:r>
    </w:p>
    <w:p>
      <w:pPr>
        <w:spacing w:line="240" w:lineRule="auto" w:after="240"/>
        <w:jc w:val="left"/>
      </w:pPr>
      <w:r>
        <w:rPr>
          <w:rFonts w:ascii="Times New Roman" w:hAnsi="Times New Roman"/>
          <w:sz w:val="24"/>
        </w:rPr>
        <w:t xml:space="preserve">BRASIL. Ministério da Educação. </w:t>
      </w:r>
      <w:r>
        <w:rPr>
          <w:b/>
          <w:rFonts w:ascii="Times New Roman" w:hAnsi="Times New Roman"/>
          <w:sz w:val="24"/>
        </w:rPr>
        <w:t xml:space="preserve">Complementação à Base Nacional Comum Curricular para Computação na Educação Básica</w:t>
      </w:r>
      <w:r>
        <w:rPr>
          <w:rFonts w:ascii="Times New Roman" w:hAnsi="Times New Roman"/>
          <w:sz w:val="24"/>
        </w:rPr>
        <w:t xml:space="preserve">. Brasília, DF: MEC, 2022.</w:t>
      </w:r>
    </w:p>
    <w:p>
      <w:pPr>
        <w:spacing w:line="240" w:lineRule="auto" w:after="240"/>
        <w:jc w:val="left"/>
      </w:pPr>
      <w:r>
        <w:rPr>
          <w:rFonts w:ascii="Times New Roman" w:hAnsi="Times New Roman"/>
          <w:sz w:val="24"/>
        </w:rPr>
        <w:t xml:space="preserve">BRAUN, Virginia; CLARKE, Victoria. Reflecting on reflexive thematic analysis. </w:t>
      </w:r>
      <w:r>
        <w:rPr>
          <w:b/>
          <w:rFonts w:ascii="Times New Roman" w:hAnsi="Times New Roman"/>
          <w:sz w:val="24"/>
        </w:rPr>
        <w:t xml:space="preserve">Qualitative Research in Sport, Exercise and Health</w:t>
      </w:r>
      <w:r>
        <w:rPr>
          <w:rFonts w:ascii="Times New Roman" w:hAnsi="Times New Roman"/>
          <w:sz w:val="24"/>
        </w:rPr>
        <w:t xml:space="preserve">, v. 11, n. 4, p. 589-597, 2019. DOI: https://doi.org/10.1080/2159676X.2019.1628806.</w:t>
      </w:r>
    </w:p>
    <w:p>
      <w:pPr>
        <w:spacing w:line="240" w:lineRule="auto" w:after="240"/>
        <w:jc w:val="left"/>
      </w:pPr>
      <w:r>
        <w:rPr>
          <w:rFonts w:ascii="Times New Roman" w:hAnsi="Times New Roman"/>
          <w:sz w:val="24"/>
        </w:rPr>
        <w:t xml:space="preserve">BRAUN, Virginia; CLARKE, Victoria. Using thematic analysis in psychology. </w:t>
      </w:r>
      <w:r>
        <w:rPr>
          <w:b/>
          <w:rFonts w:ascii="Times New Roman" w:hAnsi="Times New Roman"/>
          <w:sz w:val="24"/>
        </w:rPr>
        <w:t xml:space="preserve">Qualitative Research in Psychology</w:t>
      </w:r>
      <w:r>
        <w:rPr>
          <w:rFonts w:ascii="Times New Roman" w:hAnsi="Times New Roman"/>
          <w:sz w:val="24"/>
        </w:rPr>
        <w:t xml:space="preserve">, v. 3, n. 2, p. 77-101, 2006. DOI: https://doi.org/10.1191/1478088706qp063oa.</w:t>
      </w:r>
    </w:p>
    <w:p>
      <w:pPr>
        <w:spacing w:line="240" w:lineRule="auto" w:after="240"/>
        <w:jc w:val="left"/>
      </w:pPr>
      <w:r>
        <w:rPr>
          <w:rFonts w:ascii="Times New Roman" w:hAnsi="Times New Roman"/>
          <w:sz w:val="24"/>
        </w:rPr>
        <w:t xml:space="preserve">FOUCAULT, Michel. </w:t>
      </w:r>
      <w:r>
        <w:rPr>
          <w:b/>
          <w:rFonts w:ascii="Times New Roman" w:hAnsi="Times New Roman"/>
          <w:sz w:val="24"/>
        </w:rPr>
        <w:t xml:space="preserve">Vigiar e punir</w:t>
      </w:r>
      <w:r>
        <w:rPr>
          <w:rFonts w:ascii="Times New Roman" w:hAnsi="Times New Roman"/>
          <w:sz w:val="24"/>
        </w:rPr>
        <w:t xml:space="preserve">: nascimento da prisão. Tradução de Raquel Ramalhete. 20. ed. Petrópolis: Vozes, 1999.</w:t>
      </w:r>
    </w:p>
    <w:p>
      <w:pPr>
        <w:spacing w:line="240" w:lineRule="auto" w:after="240"/>
        <w:jc w:val="left"/>
      </w:pPr>
      <w:r>
        <w:rPr>
          <w:rFonts w:ascii="Times New Roman" w:hAnsi="Times New Roman"/>
          <w:sz w:val="24"/>
        </w:rPr>
        <w:t xml:space="preserve">FREIRE, Paulo. </w:t>
      </w:r>
      <w:r>
        <w:rPr>
          <w:b/>
          <w:rFonts w:ascii="Times New Roman" w:hAnsi="Times New Roman"/>
          <w:sz w:val="24"/>
        </w:rPr>
        <w:t xml:space="preserve">Pedagogia da autonomia</w:t>
      </w:r>
      <w:r>
        <w:rPr>
          <w:rFonts w:ascii="Times New Roman" w:hAnsi="Times New Roman"/>
          <w:sz w:val="24"/>
        </w:rPr>
        <w:t xml:space="preserve">: saberes necessários à prática educativa. 60. ed. Rio de Janeiro: Paz e Terra, 2019.</w:t>
      </w:r>
    </w:p>
    <w:p>
      <w:pPr>
        <w:spacing w:line="360" w:lineRule="auto"/>
        <w:ind w:firstLine="709"/>
        <w:jc w:val="left"/>
      </w:pPr>
      <w:r>
        <w:rPr>
          <w:rFonts w:ascii="Times New Roman" w:hAnsi="Times New Roman"/>
          <w:sz w:val="24"/>
        </w:rPr>
        <w:t xml:space="preserve">HARGREAVES, Andy. </w:t>
      </w:r>
      <w:r>
        <w:rPr>
          <w:b/>
          <w:rFonts w:ascii="Times New Roman" w:hAnsi="Times New Roman"/>
          <w:sz w:val="24"/>
        </w:rPr>
        <w:t xml:space="preserve">Profesorado, cultura y postmodernidad</w:t>
      </w:r>
      <w:r>
        <w:rPr>
          <w:rFonts w:ascii="Times New Roman" w:hAnsi="Times New Roman"/>
          <w:sz w:val="24"/>
        </w:rPr>
        <w:t xml:space="preserve">: cambian los tiempos, cambia el profesorado. 5. ed. Madrid: Morata, 2005.</w:t>
      </w:r>
    </w:p>
    <w:p>
      <w:pPr>
        <w:spacing w:line="240" w:lineRule="auto" w:after="240"/>
        <w:jc w:val="left"/>
      </w:pPr>
      <w:r>
        <w:rPr>
          <w:rFonts w:ascii="Times New Roman" w:hAnsi="Times New Roman"/>
          <w:sz w:val="24"/>
        </w:rPr>
        <w:t xml:space="preserve">MAINARDES, Jefferson. Abordagem do ciclo de políticas: uma contribuição para a análise de políticas educacionais. </w:t>
      </w:r>
      <w:r>
        <w:rPr>
          <w:b/>
          <w:rFonts w:ascii="Times New Roman" w:hAnsi="Times New Roman"/>
          <w:sz w:val="24"/>
        </w:rPr>
        <w:t xml:space="preserve">Educação &amp; Sociedade</w:t>
      </w:r>
      <w:r>
        <w:rPr>
          <w:rFonts w:ascii="Times New Roman" w:hAnsi="Times New Roman"/>
          <w:sz w:val="24"/>
        </w:rPr>
        <w:t xml:space="preserve">, Campinas, v. 27, n. 94, p. 47-69, jan./abr. 2006. DOI: https://doi.org/10.1590/S0101-73302006000100003.</w:t>
      </w:r>
    </w:p>
    <w:p>
      <w:pPr>
        <w:spacing w:line="240" w:lineRule="auto" w:after="240"/>
        <w:jc w:val="left"/>
      </w:pPr>
      <w:r>
        <w:rPr>
          <w:rFonts w:ascii="Times New Roman" w:hAnsi="Times New Roman"/>
          <w:sz w:val="24"/>
        </w:rPr>
        <w:t xml:space="preserve">MARCONI, Marina de Andrade; LAKATOS, Eva Maria. </w:t>
      </w:r>
      <w:r>
        <w:rPr>
          <w:b/>
          <w:rFonts w:ascii="Times New Roman" w:hAnsi="Times New Roman"/>
          <w:sz w:val="24"/>
        </w:rPr>
        <w:t xml:space="preserve">Metodologia científica</w:t>
      </w:r>
      <w:r>
        <w:rPr>
          <w:rFonts w:ascii="Times New Roman" w:hAnsi="Times New Roman"/>
          <w:sz w:val="24"/>
        </w:rPr>
        <w:t xml:space="preserve">. 5. ed. São Paulo: Atlas, 2007.</w:t>
      </w:r>
    </w:p>
    <w:p>
      <w:pPr>
        <w:spacing w:line="240" w:lineRule="auto" w:after="240"/>
        <w:jc w:val="left"/>
      </w:pPr>
      <w:r>
        <w:rPr>
          <w:rFonts w:ascii="Times New Roman" w:hAnsi="Times New Roman"/>
          <w:sz w:val="24"/>
        </w:rPr>
        <w:t xml:space="preserve">MINAYO, Maria Cecília de Souza (org.). </w:t>
      </w:r>
      <w:r>
        <w:rPr>
          <w:b/>
          <w:rFonts w:ascii="Times New Roman" w:hAnsi="Times New Roman"/>
          <w:sz w:val="24"/>
        </w:rPr>
        <w:t xml:space="preserve">Pesquisa social</w:t>
      </w:r>
      <w:r>
        <w:rPr>
          <w:rFonts w:ascii="Times New Roman" w:hAnsi="Times New Roman"/>
          <w:sz w:val="24"/>
        </w:rPr>
        <w:t xml:space="preserve">: teoria, método e criatividade. 28. ed. Petrópolis, RJ: Vozes, 2009.</w:t>
      </w:r>
    </w:p>
    <w:p>
      <w:pPr>
        <w:spacing w:line="240" w:lineRule="auto" w:after="240"/>
        <w:jc w:val="left"/>
      </w:pPr>
      <w:r>
        <w:rPr>
          <w:rFonts w:ascii="Times New Roman" w:hAnsi="Times New Roman"/>
          <w:sz w:val="24"/>
        </w:rPr>
        <w:t xml:space="preserve">OLIVEIRA, Dalila Andrade; VIEIRA, Lívia Fraga. </w:t>
      </w:r>
      <w:r>
        <w:rPr>
          <w:b/>
          <w:rFonts w:ascii="Times New Roman" w:hAnsi="Times New Roman"/>
          <w:sz w:val="24"/>
        </w:rPr>
        <w:t xml:space="preserve">Trabalho na educação em sete estados brasileiros</w:t>
      </w:r>
      <w:r>
        <w:rPr>
          <w:rFonts w:ascii="Times New Roman" w:hAnsi="Times New Roman"/>
          <w:sz w:val="24"/>
        </w:rPr>
        <w:t xml:space="preserve">. Belo Horizonte: Fino Traço, 2012.</w:t>
      </w:r>
    </w:p>
    <w:p>
      <w:pPr>
        <w:spacing w:line="360" w:lineRule="auto"/>
        <w:ind w:firstLine="709"/>
        <w:jc w:val="left"/>
      </w:pPr>
      <w:r>
        <w:rPr>
          <w:rFonts w:ascii="Times New Roman" w:hAnsi="Times New Roman"/>
          <w:sz w:val="24"/>
        </w:rPr>
        <w:t xml:space="preserve">ONU. Comitê dos Direitos da Criança. </w:t>
      </w:r>
      <w:r>
        <w:rPr>
          <w:b/>
          <w:rFonts w:ascii="Times New Roman" w:hAnsi="Times New Roman"/>
          <w:sz w:val="24"/>
        </w:rPr>
        <w:t xml:space="preserve">Comentário Geral nº 25 (2021) sobre os direitos das crianças em relação ao ambiente digital</w:t>
      </w:r>
      <w:r>
        <w:rPr>
          <w:rFonts w:ascii="Times New Roman" w:hAnsi="Times New Roman"/>
          <w:sz w:val="24"/>
        </w:rPr>
        <w:t xml:space="preserve">. CRC/C/GC/25. Genebra: ONU, 2021.</w:t>
      </w:r>
    </w:p>
    <w:p>
      <w:pPr>
        <w:spacing w:line="240" w:lineRule="auto" w:after="240"/>
        <w:jc w:val="left"/>
      </w:pPr>
      <w:r>
        <w:rPr>
          <w:rFonts w:ascii="Times New Roman" w:hAnsi="Times New Roman"/>
          <w:sz w:val="24"/>
        </w:rPr>
        <w:t xml:space="preserve">QUEIROZ, Maria Aparecida de; PAIVA, Maria Cristina Leandro de. A valorização do trabalho docente e a formação profissional. In: FRANÇA, Magna; MOMO, Mariângela (org.). </w:t>
      </w:r>
      <w:r>
        <w:rPr>
          <w:b/>
          <w:rFonts w:ascii="Times New Roman" w:hAnsi="Times New Roman"/>
          <w:sz w:val="24"/>
        </w:rPr>
        <w:t xml:space="preserve">Processo democrático participativo</w:t>
      </w:r>
      <w:r>
        <w:rPr>
          <w:rFonts w:ascii="Times New Roman" w:hAnsi="Times New Roman"/>
          <w:sz w:val="24"/>
        </w:rPr>
        <w:t xml:space="preserve">: a construção do PNE. Campinas: Mercado de Letras, 2014. p. 249-286.</w:t>
      </w:r>
    </w:p>
    <w:p>
      <w:pPr>
        <w:spacing w:line="240" w:lineRule="auto" w:after="240"/>
        <w:jc w:val="left"/>
      </w:pPr>
      <w:r>
        <w:rPr>
          <w:rFonts w:ascii="Times New Roman" w:hAnsi="Times New Roman"/>
          <w:sz w:val="24"/>
        </w:rPr>
        <w:t xml:space="preserve">SANTOS, Milton. </w:t>
      </w:r>
      <w:r>
        <w:rPr>
          <w:b/>
          <w:rFonts w:ascii="Times New Roman" w:hAnsi="Times New Roman"/>
          <w:sz w:val="24"/>
        </w:rPr>
        <w:t xml:space="preserve">Espaço e método</w:t>
      </w:r>
      <w:r>
        <w:rPr>
          <w:rFonts w:ascii="Times New Roman" w:hAnsi="Times New Roman"/>
          <w:sz w:val="24"/>
        </w:rPr>
        <w:t xml:space="preserve">. 5. ed., 1. reimpr. São Paulo: Editora da Universidade de São Paulo, 2012.</w:t>
      </w:r>
    </w:p>
    <w:p>
      <w:pPr>
        <w:spacing w:line="240" w:lineRule="auto" w:after="240"/>
        <w:jc w:val="left"/>
      </w:pPr>
      <w:r>
        <w:rPr>
          <w:rFonts w:ascii="Times New Roman" w:hAnsi="Times New Roman"/>
          <w:sz w:val="24"/>
        </w:rPr>
        <w:t xml:space="preserve">TIBAU DO SUL. Secretaria de Educação. </w:t>
      </w:r>
      <w:r>
        <w:rPr>
          <w:b/>
          <w:rFonts w:ascii="Times New Roman" w:hAnsi="Times New Roman"/>
          <w:sz w:val="24"/>
        </w:rPr>
        <w:t xml:space="preserve">Relatório sintético de turmas</w:t>
      </w:r>
      <w:r>
        <w:rPr>
          <w:rFonts w:ascii="Times New Roman" w:hAnsi="Times New Roman"/>
          <w:sz w:val="24"/>
        </w:rPr>
        <w:t xml:space="preserve">: EM Domitila Castelo da Silva, Ensino Fundamental – anos iniciais, ano 2026. Tibau do Sul: Portal SIGEduc, 2026. Emitido em 3 out. 2026.</w:t>
      </w:r>
    </w:p>
    <w:p>
      <w:pPr>
        <w:spacing w:line="240" w:lineRule="auto" w:after="240"/>
        <w:jc w:val="left"/>
      </w:pPr>
      <w:r>
        <w:rPr>
          <w:rFonts w:ascii="Times New Roman" w:hAnsi="Times New Roman"/>
          <w:sz w:val="24"/>
        </w:rPr>
        <w:t xml:space="preserve">YIN, Robert K. </w:t>
      </w:r>
      <w:r>
        <w:rPr>
          <w:b/>
          <w:rFonts w:ascii="Times New Roman" w:hAnsi="Times New Roman"/>
          <w:sz w:val="24"/>
        </w:rPr>
        <w:t xml:space="preserve">Estudo de caso</w:t>
      </w:r>
      <w:r>
        <w:rPr>
          <w:rFonts w:ascii="Times New Roman" w:hAnsi="Times New Roman"/>
          <w:sz w:val="24"/>
        </w:rPr>
        <w:t xml:space="preserve">: planejamento e métodos. 2. ed. Porto Alegre: Bookman, 2001.</w:t>
      </w:r>
    </w:p>
    <w:p>
      <w:r>
        <w:br w:type="page"/>
      </w:r>
    </w:p>
    <w:p>
      <w:r>
        <w:br w:type="page"/>
      </w:r>
    </w:p>
    <w:p>
      <w:pPr>
        <w:spacing w:line="360" w:lineRule="auto" w:before="240" w:after="240"/>
      </w:pPr>
      <w:r>
        <w:rPr>
          <w:rFonts w:ascii="Times New Roman" w:hAnsi="Times New Roman"/>
          <w:b/>
          <w:sz w:val="24"/>
        </w:rPr>
        <w:t>APÊNDICE B – QUESTIONÁRIO DE PERFIL E PERCEPÇÕES SOBRE A PNED</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 xml:space="preserve">Público: Profissionais da educação da Escola Municipal Domitila Castelo da Silva, em Pipa, Tibau do Sul (RN), que atuam nos anos iniciais do Ensino Fundamental (1º ao 5º ano): docentes regentes e de apoio à recomposição de aula, profissionais do apoio pedagógico, coordenação pedagógica e direção.</w:t>
      </w:r>
    </w:p>
    <w:p>
      <w:pPr>
        <w:spacing w:line="240" w:lineRule="auto" w:after="40"/>
        <w:jc w:val="left"/>
      </w:pPr>
      <w:r>
        <w:rPr>
          <w:rFonts w:ascii="Times New Roman" w:hAnsi="Times New Roman"/>
          <w:sz w:val="24"/>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rPr>
        <w:t>BLOCO 1 – PERFIL E TRAJETÓRIA PROFISSIONAL</w:t>
      </w:r>
    </w:p>
    <w:p>
      <w:pPr>
        <w:spacing w:line="240" w:lineRule="auto" w:after="40"/>
        <w:jc w:val="left"/>
      </w:pPr>
      <w:r>
        <w:rPr>
          <w:rFonts w:ascii="Times New Roman" w:hAnsi="Times New Roman"/>
          <w:sz w:val="24"/>
        </w:rPr>
        <w:t>1. Função que exerce na escola:</w:t>
      </w:r>
    </w:p>
    <w:p>
      <w:pPr>
        <w:spacing w:line="240" w:lineRule="auto" w:after="40"/>
        <w:jc w:val="left"/>
      </w:pPr>
      <w:r>
        <w:rPr>
          <w:rFonts w:ascii="Times New Roman" w:hAnsi="Times New Roman"/>
          <w:sz w:val="24"/>
        </w:rPr>
        <w:t>( ) Docência do 1º ao 5º ano do Ensino Fundamental</w:t>
      </w:r>
    </w:p>
    <w:p>
      <w:pPr>
        <w:spacing w:line="240" w:lineRule="auto" w:after="40"/>
        <w:jc w:val="left"/>
      </w:pPr>
      <w:r>
        <w:rPr>
          <w:rFonts w:ascii="Times New Roman" w:hAnsi="Times New Roman"/>
          <w:sz w:val="24"/>
        </w:rPr>
        <w:t>( ) Apoio à recomposição de aula</w:t>
      </w:r>
    </w:p>
    <w:p>
      <w:pPr>
        <w:spacing w:line="240" w:lineRule="auto" w:after="40"/>
        <w:jc w:val="left"/>
      </w:pPr>
      <w:r>
        <w:rPr>
          <w:rFonts w:ascii="Times New Roman" w:hAnsi="Times New Roman"/>
          <w:sz w:val="24"/>
        </w:rPr>
        <w:t>( ) Coordenação pedagógica</w:t>
      </w:r>
    </w:p>
    <w:p>
      <w:pPr>
        <w:spacing w:line="240" w:lineRule="auto" w:after="40"/>
        <w:jc w:val="left"/>
      </w:pPr>
      <w:r>
        <w:rPr>
          <w:rFonts w:ascii="Times New Roman" w:hAnsi="Times New Roman"/>
          <w:sz w:val="24"/>
        </w:rPr>
        <w:t>( ) Direção</w:t>
      </w:r>
    </w:p>
    <w:p>
      <w:pPr>
        <w:spacing w:line="240" w:lineRule="auto" w:after="40"/>
        <w:jc w:val="left"/>
      </w:pPr>
      <w:r>
        <w:rPr>
          <w:rFonts w:ascii="Times New Roman" w:hAnsi="Times New Roman"/>
          <w:sz w:val="24"/>
        </w:rPr>
        <w:t>( ) Apoio pedagógico ou atendimento educacional especializado</w:t>
      </w:r>
    </w:p>
    <w:p>
      <w:pPr>
        <w:spacing w:line="240" w:lineRule="auto" w:after="40"/>
        <w:jc w:val="left"/>
      </w:pPr>
      <w:r>
        <w:rPr>
          <w:rFonts w:ascii="Times New Roman" w:hAnsi="Times New Roman"/>
          <w:sz w:val="24"/>
        </w:rPr>
        <w:t>( ) Outra função técnica ou administrativa: ______________</w:t>
      </w:r>
    </w:p>
    <w:p>
      <w:pPr>
        <w:spacing w:line="240" w:lineRule="auto" w:after="40"/>
        <w:jc w:val="left"/>
      </w:pPr>
      <w:r>
        <w:rPr>
          <w:rFonts w:ascii="Times New Roman" w:hAnsi="Times New Roman"/>
          <w:sz w:val="24"/>
        </w:rPr>
        <w:t>2. Se atua na docência, em qual(is) ano(s)?</w:t>
      </w:r>
    </w:p>
    <w:p>
      <w:pPr>
        <w:spacing w:line="240" w:lineRule="auto" w:after="40"/>
        <w:jc w:val="left"/>
      </w:pPr>
      <w:r>
        <w:rPr>
          <w:rFonts w:ascii="Times New Roman" w:hAnsi="Times New Roman"/>
          <w:sz w:val="24"/>
        </w:rPr>
        <w:t>[ ] 1º ano</w:t>
      </w:r>
    </w:p>
    <w:p>
      <w:pPr>
        <w:spacing w:line="240" w:lineRule="auto" w:after="40"/>
        <w:jc w:val="left"/>
      </w:pPr>
      <w:r>
        <w:rPr>
          <w:rFonts w:ascii="Times New Roman" w:hAnsi="Times New Roman"/>
          <w:sz w:val="24"/>
        </w:rPr>
        <w:t>[ ] 2º ano</w:t>
      </w:r>
    </w:p>
    <w:p>
      <w:pPr>
        <w:spacing w:line="240" w:lineRule="auto" w:after="40"/>
        <w:jc w:val="left"/>
      </w:pPr>
      <w:r>
        <w:rPr>
          <w:rFonts w:ascii="Times New Roman" w:hAnsi="Times New Roman"/>
          <w:sz w:val="24"/>
        </w:rPr>
        <w:t>[ ] 3º ano</w:t>
      </w:r>
    </w:p>
    <w:p>
      <w:pPr>
        <w:spacing w:line="240" w:lineRule="auto" w:after="40"/>
        <w:jc w:val="left"/>
      </w:pPr>
      <w:r>
        <w:rPr>
          <w:rFonts w:ascii="Times New Roman" w:hAnsi="Times New Roman"/>
          <w:sz w:val="24"/>
        </w:rPr>
        <w:t>[ ] 4º ano</w:t>
      </w:r>
    </w:p>
    <w:p>
      <w:pPr>
        <w:spacing w:line="240" w:lineRule="auto" w:after="40"/>
        <w:jc w:val="left"/>
      </w:pPr>
      <w:r>
        <w:rPr>
          <w:rFonts w:ascii="Times New Roman" w:hAnsi="Times New Roman"/>
          <w:sz w:val="24"/>
        </w:rPr>
        <w:t>[ ] 5º ano</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 Faixa etária:</w:t>
      </w:r>
    </w:p>
    <w:p>
      <w:pPr>
        <w:spacing w:line="240" w:lineRule="auto" w:after="40"/>
        <w:jc w:val="left"/>
      </w:pPr>
      <w:r>
        <w:rPr>
          <w:rFonts w:ascii="Times New Roman" w:hAnsi="Times New Roman"/>
          <w:sz w:val="24"/>
        </w:rPr>
        <w:t>( ) Até 29 anos</w:t>
      </w:r>
    </w:p>
    <w:p>
      <w:pPr>
        <w:spacing w:line="240" w:lineRule="auto" w:after="40"/>
        <w:jc w:val="left"/>
      </w:pPr>
      <w:r>
        <w:rPr>
          <w:rFonts w:ascii="Times New Roman" w:hAnsi="Times New Roman"/>
          <w:sz w:val="24"/>
        </w:rPr>
        <w:t>( ) 30 a 39 anos</w:t>
      </w:r>
    </w:p>
    <w:p>
      <w:pPr>
        <w:spacing w:line="240" w:lineRule="auto" w:after="40"/>
        <w:jc w:val="left"/>
      </w:pPr>
      <w:r>
        <w:rPr>
          <w:rFonts w:ascii="Times New Roman" w:hAnsi="Times New Roman"/>
          <w:sz w:val="24"/>
        </w:rPr>
        <w:t>( ) 40 a 49 anos</w:t>
      </w:r>
    </w:p>
    <w:p>
      <w:pPr>
        <w:spacing w:line="240" w:lineRule="auto" w:after="40"/>
        <w:jc w:val="left"/>
      </w:pPr>
      <w:r>
        <w:rPr>
          <w:rFonts w:ascii="Times New Roman" w:hAnsi="Times New Roman"/>
          <w:sz w:val="24"/>
        </w:rPr>
        <w:t>( ) 50 a 59 anos</w:t>
      </w:r>
    </w:p>
    <w:p>
      <w:pPr>
        <w:spacing w:line="240" w:lineRule="auto" w:after="40"/>
        <w:jc w:val="left"/>
      </w:pPr>
      <w:r>
        <w:rPr>
          <w:rFonts w:ascii="Times New Roman" w:hAnsi="Times New Roman"/>
          <w:sz w:val="24"/>
        </w:rPr>
        <w:t>( ) 60 anos ou mais</w:t>
      </w:r>
    </w:p>
    <w:p>
      <w:pPr>
        <w:spacing w:line="240" w:lineRule="auto" w:after="40"/>
        <w:jc w:val="left"/>
      </w:pPr>
      <w:r>
        <w:rPr>
          <w:rFonts w:ascii="Times New Roman" w:hAnsi="Times New Roman"/>
          <w:sz w:val="24"/>
        </w:rPr>
        <w:t>4. Identidade de gênero:</w:t>
      </w:r>
    </w:p>
    <w:p>
      <w:pPr>
        <w:spacing w:line="240" w:lineRule="auto" w:after="40"/>
        <w:jc w:val="left"/>
      </w:pPr>
      <w:r>
        <w:rPr>
          <w:rFonts w:ascii="Times New Roman" w:hAnsi="Times New Roman"/>
          <w:sz w:val="24"/>
        </w:rPr>
        <w:t>( ) Mulher</w:t>
      </w:r>
    </w:p>
    <w:p>
      <w:pPr>
        <w:spacing w:line="240" w:lineRule="auto" w:after="40"/>
        <w:jc w:val="left"/>
      </w:pPr>
      <w:r>
        <w:rPr>
          <w:rFonts w:ascii="Times New Roman" w:hAnsi="Times New Roman"/>
          <w:sz w:val="24"/>
        </w:rPr>
        <w:t>( ) Homem</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Prefiro não informar</w:t>
      </w:r>
    </w:p>
    <w:p>
      <w:pPr>
        <w:spacing w:line="240" w:lineRule="auto" w:after="40"/>
        <w:jc w:val="left"/>
      </w:pPr>
      <w:r>
        <w:rPr>
          <w:rFonts w:ascii="Times New Roman" w:hAnsi="Times New Roman"/>
          <w:sz w:val="24"/>
        </w:rPr>
        <w:t>5. Formação em nível superior:</w:t>
      </w:r>
    </w:p>
    <w:p>
      <w:pPr>
        <w:spacing w:line="240" w:lineRule="auto" w:after="40"/>
        <w:jc w:val="left"/>
      </w:pPr>
      <w:r>
        <w:rPr>
          <w:rFonts w:ascii="Times New Roman" w:hAnsi="Times New Roman"/>
          <w:sz w:val="24"/>
        </w:rPr>
        <w:t>( ) Pedagogia</w:t>
      </w:r>
    </w:p>
    <w:p>
      <w:pPr>
        <w:spacing w:line="240" w:lineRule="auto" w:after="40"/>
        <w:jc w:val="left"/>
      </w:pPr>
      <w:r>
        <w:rPr>
          <w:rFonts w:ascii="Times New Roman" w:hAnsi="Times New Roman"/>
          <w:sz w:val="24"/>
        </w:rPr>
        <w:t>( ) Outra licenciatura: ______________</w:t>
      </w:r>
    </w:p>
    <w:p>
      <w:pPr>
        <w:spacing w:line="240" w:lineRule="auto" w:after="40"/>
        <w:jc w:val="left"/>
      </w:pPr>
      <w:r>
        <w:rPr>
          <w:rFonts w:ascii="Times New Roman" w:hAnsi="Times New Roman"/>
          <w:sz w:val="24"/>
        </w:rPr>
        <w:t>( ) Outro curso superior: ______________</w:t>
      </w:r>
    </w:p>
    <w:p>
      <w:pPr>
        <w:spacing w:line="240" w:lineRule="auto" w:after="40"/>
        <w:jc w:val="left"/>
      </w:pPr>
      <w:r>
        <w:rPr>
          <w:rFonts w:ascii="Times New Roman" w:hAnsi="Times New Roman"/>
          <w:sz w:val="24"/>
        </w:rPr>
        <w:t>( ) Não possui curso superior concluído</w:t>
      </w:r>
    </w:p>
    <w:p>
      <w:pPr>
        <w:spacing w:line="240" w:lineRule="auto" w:after="40"/>
        <w:jc w:val="left"/>
      </w:pPr>
      <w:r>
        <w:rPr>
          <w:rFonts w:ascii="Times New Roman" w:hAnsi="Times New Roman"/>
          <w:sz w:val="24"/>
        </w:rPr>
        <w:t>6. Pós-graduação concluída:</w:t>
      </w:r>
    </w:p>
    <w:p>
      <w:pPr>
        <w:spacing w:line="240" w:lineRule="auto" w:after="40"/>
        <w:jc w:val="left"/>
      </w:pPr>
      <w:r>
        <w:rPr>
          <w:rFonts w:ascii="Times New Roman" w:hAnsi="Times New Roman"/>
          <w:sz w:val="24"/>
        </w:rPr>
        <w:t>( ) Nenhuma</w:t>
      </w:r>
    </w:p>
    <w:p>
      <w:pPr>
        <w:spacing w:line="240" w:lineRule="auto" w:after="40"/>
        <w:jc w:val="left"/>
      </w:pPr>
      <w:r>
        <w:rPr>
          <w:rFonts w:ascii="Times New Roman" w:hAnsi="Times New Roman"/>
          <w:sz w:val="24"/>
        </w:rPr>
        <w:t>( ) Especialização</w:t>
      </w:r>
    </w:p>
    <w:p>
      <w:pPr>
        <w:spacing w:line="240" w:lineRule="auto" w:after="40"/>
        <w:jc w:val="left"/>
      </w:pPr>
      <w:r>
        <w:rPr>
          <w:rFonts w:ascii="Times New Roman" w:hAnsi="Times New Roman"/>
          <w:sz w:val="24"/>
        </w:rPr>
        <w:t>( ) Mestrado</w:t>
      </w:r>
    </w:p>
    <w:p>
      <w:pPr>
        <w:spacing w:line="240" w:lineRule="auto" w:after="40"/>
        <w:jc w:val="left"/>
      </w:pPr>
      <w:r>
        <w:rPr>
          <w:rFonts w:ascii="Times New Roman" w:hAnsi="Times New Roman"/>
          <w:sz w:val="24"/>
        </w:rPr>
        <w:t>( ) Doutorado</w:t>
      </w:r>
    </w:p>
    <w:p>
      <w:pPr>
        <w:spacing w:line="240" w:lineRule="auto" w:after="40"/>
        <w:jc w:val="left"/>
      </w:pPr>
      <w:r>
        <w:rPr>
          <w:rFonts w:ascii="Times New Roman" w:hAnsi="Times New Roman"/>
          <w:sz w:val="24"/>
        </w:rPr>
        <w:t>7. Tempo total de atuação na educação:</w:t>
      </w:r>
    </w:p>
    <w:p>
      <w:pPr>
        <w:spacing w:line="240" w:lineRule="auto" w:after="40"/>
        <w:jc w:val="left"/>
      </w:pPr>
      <w:r>
        <w:rPr>
          <w:rFonts w:ascii="Times New Roman" w:hAnsi="Times New Roman"/>
          <w:sz w:val="24"/>
        </w:rPr>
        <w:t>( ) Até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11 a 20 anos</w:t>
      </w:r>
    </w:p>
    <w:p>
      <w:pPr>
        <w:spacing w:line="240" w:lineRule="auto" w:after="40"/>
        <w:jc w:val="left"/>
      </w:pPr>
      <w:r>
        <w:rPr>
          <w:rFonts w:ascii="Times New Roman" w:hAnsi="Times New Roman"/>
          <w:sz w:val="24"/>
        </w:rPr>
        <w:t>( ) Mais de 20 anos</w:t>
      </w:r>
    </w:p>
    <w:p>
      <w:pPr>
        <w:spacing w:line="240" w:lineRule="auto" w:after="40"/>
        <w:jc w:val="left"/>
      </w:pPr>
      <w:r>
        <w:rPr>
          <w:rFonts w:ascii="Times New Roman" w:hAnsi="Times New Roman"/>
          <w:sz w:val="24"/>
        </w:rPr>
        <w:t>8. Tempo de atuação nesta escola:</w:t>
      </w:r>
    </w:p>
    <w:p>
      <w:pPr>
        <w:spacing w:line="240" w:lineRule="auto" w:after="40"/>
        <w:jc w:val="left"/>
      </w:pPr>
      <w:r>
        <w:rPr>
          <w:rFonts w:ascii="Times New Roman" w:hAnsi="Times New Roman"/>
          <w:sz w:val="24"/>
        </w:rPr>
        <w:t>( ) Menos de 1 ano</w:t>
      </w:r>
    </w:p>
    <w:p>
      <w:pPr>
        <w:spacing w:line="240" w:lineRule="auto" w:after="40"/>
        <w:jc w:val="left"/>
      </w:pPr>
      <w:r>
        <w:rPr>
          <w:rFonts w:ascii="Times New Roman" w:hAnsi="Times New Roman"/>
          <w:sz w:val="24"/>
        </w:rPr>
        <w:t>( ) 1 a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Mais de 10 anos</w:t>
      </w:r>
    </w:p>
    <w:p>
      <w:pPr>
        <w:spacing w:line="240" w:lineRule="auto" w:after="40"/>
        <w:jc w:val="left"/>
      </w:pPr>
      <w:r>
        <w:rPr>
          <w:rFonts w:ascii="Times New Roman" w:hAnsi="Times New Roman"/>
          <w:sz w:val="24"/>
        </w:rPr>
        <w:t>9. Vínculo funcional com o município de Tibau do Sul:</w:t>
      </w:r>
    </w:p>
    <w:p>
      <w:pPr>
        <w:spacing w:line="240" w:lineRule="auto" w:after="40"/>
        <w:jc w:val="left"/>
      </w:pPr>
      <w:r>
        <w:rPr>
          <w:rFonts w:ascii="Times New Roman" w:hAnsi="Times New Roman"/>
          <w:sz w:val="24"/>
        </w:rPr>
        <w:t>( ) Efetivo (concursado)</w:t>
      </w:r>
    </w:p>
    <w:p>
      <w:pPr>
        <w:spacing w:line="240" w:lineRule="auto" w:after="40"/>
        <w:jc w:val="left"/>
      </w:pPr>
      <w:r>
        <w:rPr>
          <w:rFonts w:ascii="Times New Roman" w:hAnsi="Times New Roman"/>
          <w:sz w:val="24"/>
        </w:rPr>
        <w:t>( ) Contrato temporário</w:t>
      </w:r>
    </w:p>
    <w:p>
      <w:pPr>
        <w:spacing w:line="240" w:lineRule="auto" w:after="40"/>
        <w:jc w:val="left"/>
      </w:pPr>
      <w:r>
        <w:rPr>
          <w:rFonts w:ascii="Times New Roman" w:hAnsi="Times New Roman"/>
          <w:sz w:val="24"/>
        </w:rPr>
        <w:t>( ) Cargo comissionado</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10. Atua em outra instituição de ensino?</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11. Qual é a sua relação com o território de Pipa?</w:t>
      </w:r>
    </w:p>
    <w:p>
      <w:pPr>
        <w:spacing w:line="240" w:lineRule="auto" w:after="40"/>
        <w:jc w:val="left"/>
      </w:pPr>
      <w:r>
        <w:rPr>
          <w:rFonts w:ascii="Times New Roman" w:hAnsi="Times New Roman"/>
          <w:sz w:val="24"/>
        </w:rPr>
        <w:t>( ) Nasci e moro em Pipa</w:t>
      </w:r>
    </w:p>
    <w:p>
      <w:pPr>
        <w:spacing w:line="240" w:lineRule="auto" w:after="40"/>
        <w:jc w:val="left"/>
      </w:pPr>
      <w:r>
        <w:rPr>
          <w:rFonts w:ascii="Times New Roman" w:hAnsi="Times New Roman"/>
          <w:sz w:val="24"/>
        </w:rPr>
        <w:t>( ) Moro em Pipa, mas vim de outro lugar</w:t>
      </w:r>
    </w:p>
    <w:p>
      <w:pPr>
        <w:spacing w:line="240" w:lineRule="auto" w:after="40"/>
        <w:jc w:val="left"/>
      </w:pPr>
      <w:r>
        <w:rPr>
          <w:rFonts w:ascii="Times New Roman" w:hAnsi="Times New Roman"/>
          <w:sz w:val="24"/>
        </w:rPr>
        <w:t>( ) Moro em outro distrito ou município e me desloco para trabalhar</w:t>
      </w:r>
    </w:p>
    <w:p>
      <w:pPr>
        <w:spacing w:line="240" w:lineRule="auto" w:after="40"/>
        <w:jc w:val="left"/>
      </w:pPr>
      <w:r>
        <w:rPr>
          <w:rFonts w:ascii="Times New Roman" w:hAnsi="Times New Roman"/>
          <w:sz w:val="24"/>
        </w:rPr>
        <w:t>( ) Outra: ______________</w:t>
      </w:r>
    </w:p>
    <w:p>
      <w:pPr>
        <w:spacing w:line="360" w:lineRule="auto" w:before="240" w:after="240"/>
      </w:pPr>
      <w:r>
        <w:rPr>
          <w:rFonts w:ascii="Times New Roman" w:hAnsi="Times New Roman"/>
          <w:b/>
          <w:sz w:val="24"/>
        </w:rPr>
        <w:t>BLOCO 2 – FORMAÇÃO E RELAÇÃO COM AS TECNOLOGIAS DIGITAIS</w:t>
      </w:r>
    </w:p>
    <w:p>
      <w:pPr>
        <w:spacing w:line="240" w:lineRule="auto" w:after="40"/>
        <w:jc w:val="left"/>
      </w:pPr>
      <w:r>
        <w:rPr>
          <w:rFonts w:ascii="Times New Roman" w:hAnsi="Times New Roman"/>
          <w:sz w:val="24"/>
        </w:rPr>
        <w:t>12. Sua formação inicial abordou o uso pedagógico das tecnologias digitais?</w:t>
      </w:r>
    </w:p>
    <w:p>
      <w:pPr>
        <w:spacing w:line="240" w:lineRule="auto" w:after="40"/>
        <w:jc w:val="left"/>
      </w:pPr>
      <w:r>
        <w:rPr>
          <w:rFonts w:ascii="Times New Roman" w:hAnsi="Times New Roman"/>
          <w:sz w:val="24"/>
        </w:rPr>
        <w:t>( ) Sim, com disciplinas ou módulos específicos</w:t>
      </w:r>
    </w:p>
    <w:p>
      <w:pPr>
        <w:spacing w:line="240" w:lineRule="auto" w:after="40"/>
        <w:jc w:val="left"/>
      </w:pPr>
      <w:r>
        <w:rPr>
          <w:rFonts w:ascii="Times New Roman" w:hAnsi="Times New Roman"/>
          <w:sz w:val="24"/>
        </w:rPr>
        <w:t>( ) De forma indireta ou superficial</w:t>
      </w:r>
    </w:p>
    <w:p>
      <w:pPr>
        <w:spacing w:line="240" w:lineRule="auto" w:after="40"/>
        <w:jc w:val="left"/>
      </w:pPr>
      <w:r>
        <w:rPr>
          <w:rFonts w:ascii="Times New Roman" w:hAnsi="Times New Roman"/>
          <w:sz w:val="24"/>
        </w:rPr>
        <w:t>( ) Não abordou</w:t>
      </w:r>
    </w:p>
    <w:p>
      <w:pPr>
        <w:spacing w:line="240" w:lineRule="auto" w:after="40"/>
        <w:jc w:val="left"/>
      </w:pPr>
      <w:r>
        <w:rPr>
          <w:rFonts w:ascii="Times New Roman" w:hAnsi="Times New Roman"/>
          <w:sz w:val="24"/>
        </w:rPr>
        <w:t>13. Em que ano você participou pela primeira vez de uma formação continuada voltada à educação digital?</w:t>
      </w:r>
    </w:p>
    <w:p>
      <w:pPr>
        <w:spacing w:line="240" w:lineRule="auto" w:after="40"/>
        <w:jc w:val="left"/>
      </w:pPr>
      <w:r>
        <w:rPr>
          <w:rFonts w:ascii="Times New Roman" w:hAnsi="Times New Roman"/>
          <w:sz w:val="24"/>
        </w:rPr>
        <w:t>( ) Antes de 2023</w:t>
      </w:r>
    </w:p>
    <w:p>
      <w:pPr>
        <w:spacing w:line="240" w:lineRule="auto" w:after="40"/>
        <w:jc w:val="left"/>
      </w:pPr>
      <w:r>
        <w:rPr>
          <w:rFonts w:ascii="Times New Roman" w:hAnsi="Times New Roman"/>
          <w:sz w:val="24"/>
        </w:rPr>
        <w:t>( ) Em 2023</w:t>
      </w:r>
    </w:p>
    <w:p>
      <w:pPr>
        <w:spacing w:line="240" w:lineRule="auto" w:after="40"/>
        <w:jc w:val="left"/>
      </w:pPr>
      <w:r>
        <w:rPr>
          <w:rFonts w:ascii="Times New Roman" w:hAnsi="Times New Roman"/>
          <w:sz w:val="24"/>
        </w:rPr>
        <w:t>( ) Em 2024</w:t>
      </w:r>
    </w:p>
    <w:p>
      <w:pPr>
        <w:spacing w:line="240" w:lineRule="auto" w:after="40"/>
        <w:jc w:val="left"/>
      </w:pPr>
      <w:r>
        <w:rPr>
          <w:rFonts w:ascii="Times New Roman" w:hAnsi="Times New Roman"/>
          <w:sz w:val="24"/>
        </w:rPr>
        <w:t>( ) Em 2025</w:t>
      </w:r>
    </w:p>
    <w:p>
      <w:pPr>
        <w:spacing w:line="240" w:lineRule="auto" w:after="40"/>
        <w:jc w:val="left"/>
      </w:pPr>
      <w:r>
        <w:rPr>
          <w:rFonts w:ascii="Times New Roman" w:hAnsi="Times New Roman"/>
          <w:sz w:val="24"/>
        </w:rPr>
        <w:t>( ) Em 2026</w:t>
      </w:r>
    </w:p>
    <w:p>
      <w:pPr>
        <w:spacing w:line="240" w:lineRule="auto" w:after="40"/>
        <w:jc w:val="left"/>
      </w:pPr>
      <w:r>
        <w:rPr>
          <w:rFonts w:ascii="Times New Roman" w:hAnsi="Times New Roman"/>
          <w:sz w:val="24"/>
        </w:rPr>
        <w:t>( ) Não participei de formação com esse foco</w:t>
      </w:r>
    </w:p>
    <w:p>
      <w:pPr>
        <w:spacing w:line="240" w:lineRule="auto" w:after="40"/>
        <w:jc w:val="left"/>
      </w:pPr>
      <w:r>
        <w:rPr>
          <w:rFonts w:ascii="Times New Roman" w:hAnsi="Times New Roman"/>
          <w:sz w:val="24"/>
        </w:rPr>
        <w:t>14. Quem ofertou essa formação? (Pode assinalar mais de uma)</w:t>
      </w:r>
    </w:p>
    <w:p>
      <w:pPr>
        <w:spacing w:line="240" w:lineRule="auto" w:after="40"/>
        <w:jc w:val="left"/>
      </w:pPr>
      <w:r>
        <w:rPr>
          <w:rFonts w:ascii="Times New Roman" w:hAnsi="Times New Roman"/>
          <w:sz w:val="24"/>
        </w:rPr>
        <w:t>[ ] Secretaria Municipal de Educação de Tibau do Sul</w:t>
      </w:r>
    </w:p>
    <w:p>
      <w:pPr>
        <w:spacing w:line="240" w:lineRule="auto" w:after="40"/>
        <w:jc w:val="left"/>
      </w:pPr>
      <w:r>
        <w:rPr>
          <w:rFonts w:ascii="Times New Roman" w:hAnsi="Times New Roman"/>
          <w:sz w:val="24"/>
        </w:rPr>
        <w:t>[ ] A própria escola</w:t>
      </w:r>
    </w:p>
    <w:p>
      <w:pPr>
        <w:spacing w:line="240" w:lineRule="auto" w:after="40"/>
        <w:jc w:val="left"/>
      </w:pPr>
      <w:r>
        <w:rPr>
          <w:rFonts w:ascii="Times New Roman" w:hAnsi="Times New Roman"/>
          <w:sz w:val="24"/>
        </w:rPr>
        <w:t>[ ] MEC ou plataformas federais</w:t>
      </w:r>
    </w:p>
    <w:p>
      <w:pPr>
        <w:spacing w:line="240" w:lineRule="auto" w:after="40"/>
        <w:jc w:val="left"/>
      </w:pPr>
      <w:r>
        <w:rPr>
          <w:rFonts w:ascii="Times New Roman" w:hAnsi="Times New Roman"/>
          <w:sz w:val="24"/>
        </w:rPr>
        <w:t>[ ] Universidade ou instituição de ensino superior</w:t>
      </w:r>
    </w:p>
    <w:p>
      <w:pPr>
        <w:spacing w:line="240" w:lineRule="auto" w:after="40"/>
        <w:jc w:val="left"/>
      </w:pPr>
      <w:r>
        <w:rPr>
          <w:rFonts w:ascii="Times New Roman" w:hAnsi="Times New Roman"/>
          <w:sz w:val="24"/>
        </w:rPr>
        <w:t>[ ] Iniciativa própria (cursos online, entidades)</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15. Que conteúdos a formação abordou? (Pode assinalar mais de uma)</w:t>
      </w:r>
    </w:p>
    <w:p>
      <w:pPr>
        <w:spacing w:line="240" w:lineRule="auto" w:after="40"/>
        <w:jc w:val="left"/>
      </w:pPr>
      <w:r>
        <w:rPr>
          <w:rFonts w:ascii="Times New Roman" w:hAnsi="Times New Roman"/>
          <w:sz w:val="24"/>
        </w:rPr>
        <w:t>[ ] Pensamento computacional</w:t>
      </w:r>
    </w:p>
    <w:p>
      <w:pPr>
        <w:spacing w:line="240" w:lineRule="auto" w:after="40"/>
        <w:jc w:val="left"/>
      </w:pPr>
      <w:r>
        <w:rPr>
          <w:rFonts w:ascii="Times New Roman" w:hAnsi="Times New Roman"/>
          <w:sz w:val="24"/>
        </w:rPr>
        <w:t>[ ] Mundo digital (dispositivos, internet e seu funcionamento)</w:t>
      </w:r>
    </w:p>
    <w:p>
      <w:pPr>
        <w:spacing w:line="240" w:lineRule="auto" w:after="40"/>
        <w:jc w:val="left"/>
      </w:pPr>
      <w:r>
        <w:rPr>
          <w:rFonts w:ascii="Times New Roman" w:hAnsi="Times New Roman"/>
          <w:sz w:val="24"/>
        </w:rPr>
        <w:t>[ ] Cultura digital</w:t>
      </w:r>
    </w:p>
    <w:p>
      <w:pPr>
        <w:spacing w:line="240" w:lineRule="auto" w:after="40"/>
        <w:jc w:val="left"/>
      </w:pPr>
      <w:r>
        <w:rPr>
          <w:rFonts w:ascii="Times New Roman" w:hAnsi="Times New Roman"/>
          <w:sz w:val="24"/>
        </w:rPr>
        <w:t>[ ] Direitos digitais e proteção de dados</w:t>
      </w:r>
    </w:p>
    <w:p>
      <w:pPr>
        <w:spacing w:line="240" w:lineRule="auto" w:after="40"/>
        <w:jc w:val="left"/>
      </w:pPr>
      <w:r>
        <w:rPr>
          <w:rFonts w:ascii="Times New Roman" w:hAnsi="Times New Roman"/>
          <w:sz w:val="24"/>
        </w:rPr>
        <w:t>[ ] Uso de ferramentas e aplicativos</w:t>
      </w:r>
    </w:p>
    <w:p>
      <w:pPr>
        <w:spacing w:line="240" w:lineRule="auto" w:after="40"/>
        <w:jc w:val="left"/>
      </w:pPr>
      <w:r>
        <w:rPr>
          <w:rFonts w:ascii="Times New Roman" w:hAnsi="Times New Roman"/>
          <w:sz w:val="24"/>
        </w:rPr>
        <w:t>[ ] Tecnologia assistiva</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16. Como você avalia a relação entre essas formações e as condições reais da escola?</w:t>
      </w:r>
    </w:p>
    <w:p>
      <w:pPr>
        <w:spacing w:line="240" w:lineRule="auto" w:after="40"/>
        <w:jc w:val="left"/>
      </w:pPr>
      <w:r>
        <w:rPr>
          <w:rFonts w:ascii="Times New Roman" w:hAnsi="Times New Roman"/>
          <w:sz w:val="24"/>
        </w:rPr>
        <w:t>( ) Muito próxima da realidade da escola</w:t>
      </w:r>
    </w:p>
    <w:p>
      <w:pPr>
        <w:spacing w:line="240" w:lineRule="auto" w:after="40"/>
        <w:jc w:val="left"/>
      </w:pPr>
      <w:r>
        <w:rPr>
          <w:rFonts w:ascii="Times New Roman" w:hAnsi="Times New Roman"/>
          <w:sz w:val="24"/>
        </w:rPr>
        <w:t>( ) Parcial, com pouca relação com as condições da escola</w:t>
      </w:r>
    </w:p>
    <w:p>
      <w:pPr>
        <w:spacing w:line="240" w:lineRule="auto" w:after="40"/>
        <w:jc w:val="left"/>
      </w:pPr>
      <w:r>
        <w:rPr>
          <w:rFonts w:ascii="Times New Roman" w:hAnsi="Times New Roman"/>
          <w:sz w:val="24"/>
        </w:rPr>
        <w:t>( ) Distante, com foco predominantemente teórico ou técnico</w:t>
      </w:r>
    </w:p>
    <w:p>
      <w:pPr>
        <w:spacing w:line="240" w:lineRule="auto" w:after="40"/>
        <w:jc w:val="left"/>
      </w:pPr>
      <w:r>
        <w:rPr>
          <w:rFonts w:ascii="Times New Roman" w:hAnsi="Times New Roman"/>
          <w:sz w:val="24"/>
        </w:rPr>
        <w:t>( ) Não participei de formações</w:t>
      </w:r>
    </w:p>
    <w:p>
      <w:pPr>
        <w:spacing w:line="240" w:lineRule="auto" w:after="40"/>
        <w:jc w:val="left"/>
      </w:pPr>
      <w:r>
        <w:rPr>
          <w:rFonts w:ascii="Times New Roman" w:hAnsi="Times New Roman"/>
          <w:sz w:val="24"/>
        </w:rPr>
        <w:t>17. Com que frequência você usa tecnologias digitais na sua vida pessoal (comunicação, informação, lazer)?</w:t>
      </w:r>
    </w:p>
    <w:p>
      <w:pPr>
        <w:spacing w:line="240" w:lineRule="auto" w:after="40"/>
        <w:jc w:val="left"/>
      </w:pPr>
      <w:r>
        <w:rPr>
          <w:rFonts w:ascii="Times New Roman" w:hAnsi="Times New Roman"/>
          <w:sz w:val="24"/>
        </w:rPr>
        <w:t>( ) Diariamente</w:t>
      </w:r>
    </w:p>
    <w:p>
      <w:pPr>
        <w:spacing w:line="240" w:lineRule="auto" w:after="40"/>
        <w:jc w:val="left"/>
      </w:pPr>
      <w:r>
        <w:rPr>
          <w:rFonts w:ascii="Times New Roman" w:hAnsi="Times New Roman"/>
          <w:sz w:val="24"/>
        </w:rPr>
        <w:t>( ) Algumas vezes por semana</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18. Como você avalia sua segurança para usar recursos digitais no trabalho?</w:t>
      </w:r>
    </w:p>
    <w:p>
      <w:pPr>
        <w:spacing w:line="240" w:lineRule="auto" w:after="40"/>
        <w:jc w:val="left"/>
      </w:pPr>
      <w:r>
        <w:rPr>
          <w:rFonts w:ascii="Times New Roman" w:hAnsi="Times New Roman"/>
          <w:sz w:val="24"/>
        </w:rPr>
        <w:t>( ) Alta</w:t>
      </w:r>
    </w:p>
    <w:p>
      <w:pPr>
        <w:spacing w:line="240" w:lineRule="auto" w:after="40"/>
        <w:jc w:val="left"/>
      </w:pPr>
      <w:r>
        <w:rPr>
          <w:rFonts w:ascii="Times New Roman" w:hAnsi="Times New Roman"/>
          <w:sz w:val="24"/>
        </w:rPr>
        <w:t>( ) Média</w:t>
      </w:r>
    </w:p>
    <w:p>
      <w:pPr>
        <w:spacing w:line="240" w:lineRule="auto" w:after="40"/>
        <w:jc w:val="left"/>
      </w:pPr>
      <w:r>
        <w:rPr>
          <w:rFonts w:ascii="Times New Roman" w:hAnsi="Times New Roman"/>
          <w:sz w:val="24"/>
        </w:rPr>
        <w:t>( ) Baixa</w:t>
      </w:r>
    </w:p>
    <w:p>
      <w:pPr>
        <w:spacing w:line="240" w:lineRule="auto" w:after="40"/>
        <w:jc w:val="left"/>
      </w:pPr>
      <w:r>
        <w:rPr>
          <w:rFonts w:ascii="Times New Roman" w:hAnsi="Times New Roman"/>
          <w:sz w:val="24"/>
        </w:rPr>
        <w:t>( ) Muito baixa</w:t>
      </w:r>
    </w:p>
    <w:p>
      <w:pPr>
        <w:spacing w:line="360" w:lineRule="auto" w:before="240" w:after="240"/>
      </w:pPr>
      <w:r>
        <w:rPr>
          <w:rFonts w:ascii="Times New Roman" w:hAnsi="Times New Roman"/>
          <w:b/>
          <w:sz w:val="24"/>
        </w:rPr>
        <w:t>BLOCO 3 – CONDIÇÕES MATERIAIS DE TRABALHO E TERRITÓRIO</w:t>
      </w:r>
    </w:p>
    <w:p>
      <w:pPr>
        <w:spacing w:line="240" w:lineRule="auto" w:after="40"/>
        <w:jc w:val="left"/>
      </w:pPr>
      <w:r>
        <w:rPr>
          <w:rFonts w:ascii="Times New Roman" w:hAnsi="Times New Roman"/>
          <w:sz w:val="24"/>
        </w:rPr>
        <w:t>19. Com que frequência o laboratório de informática é usado em atividades ligadas à sua função?</w:t>
      </w:r>
    </w:p>
    <w:p>
      <w:pPr>
        <w:spacing w:line="240" w:lineRule="auto" w:after="40"/>
        <w:jc w:val="left"/>
      </w:pPr>
      <w:r>
        <w:rPr>
          <w:rFonts w:ascii="Times New Roman" w:hAnsi="Times New Roman"/>
          <w:sz w:val="24"/>
        </w:rPr>
        <w:t>( ) Ao menos uma vez por semana</w:t>
      </w:r>
    </w:p>
    <w:p>
      <w:pPr>
        <w:spacing w:line="240" w:lineRule="auto" w:after="40"/>
        <w:jc w:val="left"/>
      </w:pPr>
      <w:r>
        <w:rPr>
          <w:rFonts w:ascii="Times New Roman" w:hAnsi="Times New Roman"/>
          <w:sz w:val="24"/>
        </w:rPr>
        <w:t>( ) Uma ou duas vezes por mês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 ) A escola não dispõe de laboratório em funcionamento</w:t>
      </w:r>
    </w:p>
    <w:p>
      <w:pPr>
        <w:spacing w:line="240" w:lineRule="auto" w:after="40"/>
        <w:jc w:val="left"/>
      </w:pPr>
      <w:r>
        <w:rPr>
          <w:rFonts w:ascii="Times New Roman" w:hAnsi="Times New Roman"/>
          <w:sz w:val="24"/>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rPr>
        <w:t>( ) Sempre</w:t>
      </w:r>
    </w:p>
    <w:p>
      <w:pPr>
        <w:spacing w:line="240" w:lineRule="auto" w:after="40"/>
        <w:jc w:val="left"/>
      </w:pPr>
      <w:r>
        <w:rPr>
          <w:rFonts w:ascii="Times New Roman" w:hAnsi="Times New Roman"/>
          <w:sz w:val="24"/>
        </w:rPr>
        <w:t>( ) Com frequência, mediante agendamento</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Não estão disponíveis</w:t>
      </w:r>
    </w:p>
    <w:p>
      <w:pPr>
        <w:spacing w:line="240" w:lineRule="auto" w:after="40"/>
        <w:jc w:val="left"/>
      </w:pPr>
      <w:r>
        <w:rPr>
          <w:rFonts w:ascii="Times New Roman" w:hAnsi="Times New Roman"/>
          <w:sz w:val="24"/>
        </w:rPr>
        <w:t>21. Como é a conexão de internet nos espaços em que você trabalha com as crianças?</w:t>
      </w:r>
    </w:p>
    <w:p>
      <w:pPr>
        <w:spacing w:line="240" w:lineRule="auto" w:after="40"/>
        <w:jc w:val="left"/>
      </w:pPr>
      <w:r>
        <w:rPr>
          <w:rFonts w:ascii="Times New Roman" w:hAnsi="Times New Roman"/>
          <w:sz w:val="24"/>
        </w:rPr>
        <w:t>( ) Estável e suficiente</w:t>
      </w:r>
    </w:p>
    <w:p>
      <w:pPr>
        <w:spacing w:line="240" w:lineRule="auto" w:after="40"/>
        <w:jc w:val="left"/>
      </w:pPr>
      <w:r>
        <w:rPr>
          <w:rFonts w:ascii="Times New Roman" w:hAnsi="Times New Roman"/>
          <w:sz w:val="24"/>
        </w:rPr>
        <w:t>( ) Oscila ou não alcança todos os ambientes</w:t>
      </w:r>
    </w:p>
    <w:p>
      <w:pPr>
        <w:spacing w:line="240" w:lineRule="auto" w:after="40"/>
        <w:jc w:val="left"/>
      </w:pPr>
      <w:r>
        <w:rPr>
          <w:rFonts w:ascii="Times New Roman" w:hAnsi="Times New Roman"/>
          <w:sz w:val="24"/>
        </w:rPr>
        <w:t>( ) Atende principalmente à parte administrativa</w:t>
      </w:r>
    </w:p>
    <w:p>
      <w:pPr>
        <w:spacing w:line="240" w:lineRule="auto" w:after="40"/>
        <w:jc w:val="left"/>
      </w:pPr>
      <w:r>
        <w:rPr>
          <w:rFonts w:ascii="Times New Roman" w:hAnsi="Times New Roman"/>
          <w:sz w:val="24"/>
        </w:rPr>
        <w:t>( ) Não há conexão nas salas de aula</w:t>
      </w:r>
    </w:p>
    <w:p>
      <w:pPr>
        <w:spacing w:line="240" w:lineRule="auto" w:after="40"/>
        <w:jc w:val="left"/>
      </w:pPr>
      <w:r>
        <w:rPr>
          <w:rFonts w:ascii="Times New Roman" w:hAnsi="Times New Roman"/>
          <w:sz w:val="24"/>
        </w:rPr>
        <w:t>22. A escola ou a Secretaria oferece suporte técnico para a manutenção dos equipamentos?</w:t>
      </w:r>
    </w:p>
    <w:p>
      <w:pPr>
        <w:spacing w:line="240" w:lineRule="auto" w:after="40"/>
        <w:jc w:val="left"/>
      </w:pPr>
      <w:r>
        <w:rPr>
          <w:rFonts w:ascii="Times New Roman" w:hAnsi="Times New Roman"/>
          <w:sz w:val="24"/>
        </w:rPr>
        <w:t>( ) Sim, contínuo e acessível</w:t>
      </w:r>
    </w:p>
    <w:p>
      <w:pPr>
        <w:spacing w:line="240" w:lineRule="auto" w:after="40"/>
        <w:jc w:val="left"/>
      </w:pPr>
      <w:r>
        <w:rPr>
          <w:rFonts w:ascii="Times New Roman" w:hAnsi="Times New Roman"/>
          <w:sz w:val="24"/>
        </w:rPr>
        <w:t>( ) Esporádico ou demorado</w:t>
      </w:r>
    </w:p>
    <w:p>
      <w:pPr>
        <w:spacing w:line="240" w:lineRule="auto" w:after="40"/>
        <w:jc w:val="left"/>
      </w:pPr>
      <w:r>
        <w:rPr>
          <w:rFonts w:ascii="Times New Roman" w:hAnsi="Times New Roman"/>
          <w:sz w:val="24"/>
        </w:rPr>
        <w:t>( ) Não há suporte técnico</w:t>
      </w:r>
    </w:p>
    <w:p>
      <w:pPr>
        <w:spacing w:line="240" w:lineRule="auto" w:after="40"/>
        <w:jc w:val="left"/>
      </w:pPr>
      <w:r>
        <w:rPr>
          <w:rFonts w:ascii="Times New Roman" w:hAnsi="Times New Roman"/>
          <w:sz w:val="24"/>
        </w:rPr>
        <w:t>23. Sua jornada inclui tempo de planejamento suficiente para preparar atividades com recursos digitais?</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24. Com que frequência você prepara, fora do horário de trabalho, atividades ou registros ligados à educação digital?</w:t>
      </w:r>
    </w:p>
    <w:p>
      <w:pPr>
        <w:spacing w:line="240" w:lineRule="auto" w:after="40"/>
        <w:jc w:val="left"/>
      </w:pPr>
      <w:r>
        <w:rPr>
          <w:rFonts w:ascii="Times New Roman" w:hAnsi="Times New Roman"/>
          <w:sz w:val="24"/>
        </w:rPr>
        <w:t>( ) Frequentemente</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26. Se respondeu sim ou parcialmente, de que modo essa influência aparece no cotidiano da escola?</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360" w:lineRule="auto" w:before="240" w:after="240"/>
      </w:pPr>
      <w:r>
        <w:rPr>
          <w:rFonts w:ascii="Times New Roman" w:hAnsi="Times New Roman"/>
          <w:b/>
          <w:sz w:val="24"/>
        </w:rPr>
        <w:t>BLOCO 4 – A PNED NA ESCOLA E AS EXIGÊNCIAS DE REGISTRO E RESULTADO</w:t>
      </w:r>
    </w:p>
    <w:p>
      <w:pPr>
        <w:spacing w:line="240" w:lineRule="auto" w:after="40"/>
        <w:jc w:val="left"/>
      </w:pPr>
      <w:r>
        <w:rPr>
          <w:rFonts w:ascii="Times New Roman" w:hAnsi="Times New Roman"/>
          <w:sz w:val="24"/>
        </w:rPr>
        <w:t>27. Você conhece a Política Nacional de Educação Digital (Lei nº 14.533/2023)?</w:t>
      </w:r>
    </w:p>
    <w:p>
      <w:pPr>
        <w:spacing w:line="240" w:lineRule="auto" w:after="40"/>
        <w:jc w:val="left"/>
      </w:pPr>
      <w:r>
        <w:rPr>
          <w:rFonts w:ascii="Times New Roman" w:hAnsi="Times New Roman"/>
          <w:sz w:val="24"/>
        </w:rPr>
        <w:t>( ) Conheço o texto ou seus eixos</w:t>
      </w:r>
    </w:p>
    <w:p>
      <w:pPr>
        <w:spacing w:line="240" w:lineRule="auto" w:after="40"/>
        <w:jc w:val="left"/>
      </w:pPr>
      <w:r>
        <w:rPr>
          <w:rFonts w:ascii="Times New Roman" w:hAnsi="Times New Roman"/>
          <w:sz w:val="24"/>
        </w:rPr>
        <w:t>( ) Já ouvi falar, mas não conheço o conteúdo</w:t>
      </w:r>
    </w:p>
    <w:p>
      <w:pPr>
        <w:spacing w:line="240" w:lineRule="auto" w:after="40"/>
        <w:jc w:val="left"/>
      </w:pPr>
      <w:r>
        <w:rPr>
          <w:rFonts w:ascii="Times New Roman" w:hAnsi="Times New Roman"/>
          <w:sz w:val="24"/>
        </w:rPr>
        <w:t>( ) Não conheço</w:t>
      </w:r>
    </w:p>
    <w:p>
      <w:pPr>
        <w:spacing w:line="240" w:lineRule="auto" w:after="40"/>
        <w:jc w:val="left"/>
      </w:pPr>
      <w:r>
        <w:rPr>
          <w:rFonts w:ascii="Times New Roman" w:hAnsi="Times New Roman"/>
          <w:sz w:val="24"/>
        </w:rPr>
        <w:t>28. Por qual meio a PNED chegou até você? (Pode assinalar mais de uma)</w:t>
      </w:r>
    </w:p>
    <w:p>
      <w:pPr>
        <w:spacing w:line="240" w:lineRule="auto" w:after="40"/>
        <w:jc w:val="left"/>
      </w:pPr>
      <w:r>
        <w:rPr>
          <w:rFonts w:ascii="Times New Roman" w:hAnsi="Times New Roman"/>
          <w:sz w:val="24"/>
        </w:rPr>
        <w:t>[ ] Orientações ou documentos da escola</w:t>
      </w:r>
    </w:p>
    <w:p>
      <w:pPr>
        <w:spacing w:line="240" w:lineRule="auto" w:after="40"/>
        <w:jc w:val="left"/>
      </w:pPr>
      <w:r>
        <w:rPr>
          <w:rFonts w:ascii="Times New Roman" w:hAnsi="Times New Roman"/>
          <w:sz w:val="24"/>
        </w:rPr>
        <w:t>[ ] Reuniões ou formações da Secretaria Municipal de Educação</w:t>
      </w:r>
    </w:p>
    <w:p>
      <w:pPr>
        <w:spacing w:line="240" w:lineRule="auto" w:after="40"/>
        <w:jc w:val="left"/>
      </w:pPr>
      <w:r>
        <w:rPr>
          <w:rFonts w:ascii="Times New Roman" w:hAnsi="Times New Roman"/>
          <w:sz w:val="24"/>
        </w:rPr>
        <w:t>[ ] Cursos de formação continuada</w:t>
      </w:r>
    </w:p>
    <w:p>
      <w:pPr>
        <w:spacing w:line="240" w:lineRule="auto" w:after="40"/>
        <w:jc w:val="left"/>
      </w:pPr>
      <w:r>
        <w:rPr>
          <w:rFonts w:ascii="Times New Roman" w:hAnsi="Times New Roman"/>
          <w:sz w:val="24"/>
        </w:rPr>
        <w:t>[ ] BNCC ou documentos curriculares</w:t>
      </w:r>
    </w:p>
    <w:p>
      <w:pPr>
        <w:spacing w:line="240" w:lineRule="auto" w:after="40"/>
        <w:jc w:val="left"/>
      </w:pPr>
      <w:r>
        <w:rPr>
          <w:rFonts w:ascii="Times New Roman" w:hAnsi="Times New Roman"/>
          <w:sz w:val="24"/>
        </w:rPr>
        <w:t>[ ] Imprensa, redes sociais ou internet</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conheço a política</w:t>
      </w:r>
    </w:p>
    <w:p>
      <w:pPr>
        <w:spacing w:line="240" w:lineRule="auto" w:after="40"/>
        <w:jc w:val="left"/>
      </w:pPr>
      <w:r>
        <w:rPr>
          <w:rFonts w:ascii="Times New Roman" w:hAnsi="Times New Roman"/>
          <w:sz w:val="24"/>
        </w:rPr>
        <w:t>29. A escola ou a rede ofereceu orientações sobre a PNED?</w:t>
      </w:r>
    </w:p>
    <w:p>
      <w:pPr>
        <w:spacing w:line="240" w:lineRule="auto" w:after="40"/>
        <w:jc w:val="left"/>
      </w:pPr>
      <w:r>
        <w:rPr>
          <w:rFonts w:ascii="Times New Roman" w:hAnsi="Times New Roman"/>
          <w:sz w:val="24"/>
        </w:rPr>
        <w:t>( ) Sim, com debate e orientações pedagógicas</w:t>
      </w:r>
    </w:p>
    <w:p>
      <w:pPr>
        <w:spacing w:line="240" w:lineRule="auto" w:after="40"/>
        <w:jc w:val="left"/>
      </w:pPr>
      <w:r>
        <w:rPr>
          <w:rFonts w:ascii="Times New Roman" w:hAnsi="Times New Roman"/>
          <w:sz w:val="24"/>
        </w:rPr>
        <w:t>( ) Sim, mas de forma superficial</w:t>
      </w:r>
    </w:p>
    <w:p>
      <w:pPr>
        <w:spacing w:line="240" w:lineRule="auto" w:after="40"/>
        <w:jc w:val="left"/>
      </w:pPr>
      <w:r>
        <w:rPr>
          <w:rFonts w:ascii="Times New Roman" w:hAnsi="Times New Roman"/>
          <w:sz w:val="24"/>
        </w:rPr>
        <w:t>( ) Não houve orientação</w:t>
      </w:r>
    </w:p>
    <w:p>
      <w:pPr>
        <w:spacing w:line="240" w:lineRule="auto" w:after="40"/>
        <w:jc w:val="left"/>
      </w:pPr>
      <w:r>
        <w:rPr>
          <w:rFonts w:ascii="Times New Roman" w:hAnsi="Times New Roman"/>
          <w:sz w:val="24"/>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rPr>
        <w:t>( ) Sim, com frequência</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31. Se sim, para quem esses registros são encaminhados? (Pode assinalar mais de uma)</w:t>
      </w:r>
    </w:p>
    <w:p>
      <w:pPr>
        <w:spacing w:line="240" w:lineRule="auto" w:after="40"/>
        <w:jc w:val="left"/>
      </w:pPr>
      <w:r>
        <w:rPr>
          <w:rFonts w:ascii="Times New Roman" w:hAnsi="Times New Roman"/>
          <w:sz w:val="24"/>
        </w:rPr>
        <w:t>[ ] Coordenação ou direção da escola</w:t>
      </w:r>
    </w:p>
    <w:p>
      <w:pPr>
        <w:spacing w:line="240" w:lineRule="auto" w:after="40"/>
        <w:jc w:val="left"/>
      </w:pPr>
      <w:r>
        <w:rPr>
          <w:rFonts w:ascii="Times New Roman" w:hAnsi="Times New Roman"/>
          <w:sz w:val="24"/>
        </w:rPr>
        <w:t>[ ] Secretaria Municipal de Educação</w:t>
      </w:r>
    </w:p>
    <w:p>
      <w:pPr>
        <w:spacing w:line="240" w:lineRule="auto" w:after="40"/>
        <w:jc w:val="left"/>
      </w:pPr>
      <w:r>
        <w:rPr>
          <w:rFonts w:ascii="Times New Roman" w:hAnsi="Times New Roman"/>
          <w:sz w:val="24"/>
        </w:rPr>
        <w:t>[ ] Plataformas ou programas federais</w:t>
      </w:r>
    </w:p>
    <w:p>
      <w:pPr>
        <w:spacing w:line="240" w:lineRule="auto" w:after="40"/>
        <w:jc w:val="left"/>
      </w:pPr>
      <w:r>
        <w:rPr>
          <w:rFonts w:ascii="Times New Roman" w:hAnsi="Times New Roman"/>
          <w:sz w:val="24"/>
        </w:rPr>
        <w:t>[ ] Programas ou empresas parceiras</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32. Na sua percepção, o que é registrado sobre educação digital corresponde ao que de fato acontece com as crianças?</w:t>
      </w:r>
    </w:p>
    <w:p>
      <w:pPr>
        <w:spacing w:line="240" w:lineRule="auto" w:after="40"/>
        <w:jc w:val="left"/>
      </w:pPr>
      <w:r>
        <w:rPr>
          <w:rFonts w:ascii="Times New Roman" w:hAnsi="Times New Roman"/>
          <w:sz w:val="24"/>
        </w:rPr>
        <w:t>( ) Corresponde plenamente</w:t>
      </w:r>
    </w:p>
    <w:p>
      <w:pPr>
        <w:spacing w:line="240" w:lineRule="auto" w:after="40"/>
        <w:jc w:val="left"/>
      </w:pPr>
      <w:r>
        <w:rPr>
          <w:rFonts w:ascii="Times New Roman" w:hAnsi="Times New Roman"/>
          <w:sz w:val="24"/>
        </w:rPr>
        <w:t>( ) Corresponde em parte</w:t>
      </w:r>
    </w:p>
    <w:p>
      <w:pPr>
        <w:spacing w:line="240" w:lineRule="auto" w:after="40"/>
        <w:jc w:val="left"/>
      </w:pPr>
      <w:r>
        <w:rPr>
          <w:rFonts w:ascii="Times New Roman" w:hAnsi="Times New Roman"/>
          <w:sz w:val="24"/>
        </w:rPr>
        <w:t>( ) Corresponde pouco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33. O texto da PNED considera as condições materiais das escolas municipais?</w:t>
      </w:r>
    </w:p>
    <w:p>
      <w:pPr>
        <w:spacing w:line="240" w:lineRule="auto" w:after="40"/>
        <w:jc w:val="left"/>
      </w:pPr>
      <w:r>
        <w:rPr>
          <w:rFonts w:ascii="Times New Roman" w:hAnsi="Times New Roman"/>
          <w:sz w:val="24"/>
        </w:rPr>
        <w:t>( ) Considera plenamente</w:t>
      </w:r>
    </w:p>
    <w:p>
      <w:pPr>
        <w:spacing w:line="240" w:lineRule="auto" w:after="40"/>
        <w:jc w:val="left"/>
      </w:pPr>
      <w:r>
        <w:rPr>
          <w:rFonts w:ascii="Times New Roman" w:hAnsi="Times New Roman"/>
          <w:sz w:val="24"/>
        </w:rPr>
        <w:t>( ) Considera em parte, com exigências distantes da escola</w:t>
      </w:r>
    </w:p>
    <w:p>
      <w:pPr>
        <w:spacing w:line="240" w:lineRule="auto" w:after="40"/>
        <w:jc w:val="left"/>
      </w:pPr>
      <w:r>
        <w:rPr>
          <w:rFonts w:ascii="Times New Roman" w:hAnsi="Times New Roman"/>
          <w:sz w:val="24"/>
        </w:rPr>
        <w:t>( ) Não considera</w:t>
      </w:r>
    </w:p>
    <w:p>
      <w:pPr>
        <w:spacing w:line="240" w:lineRule="auto" w:after="40"/>
        <w:jc w:val="left"/>
      </w:pPr>
      <w:r>
        <w:rPr>
          <w:rFonts w:ascii="Times New Roman" w:hAnsi="Times New Roman"/>
          <w:sz w:val="24"/>
        </w:rPr>
        <w:t>( ) Não sei opinar</w:t>
      </w:r>
    </w:p>
    <w:p>
      <w:pPr>
        <w:spacing w:line="360" w:lineRule="auto" w:before="240" w:after="240"/>
      </w:pPr>
      <w:r>
        <w:rPr>
          <w:rFonts w:ascii="Times New Roman" w:hAnsi="Times New Roman"/>
          <w:b/>
          <w:sz w:val="24"/>
        </w:rPr>
        <w:t>BLOCO 5 – CONCEPÇÕES DE EDUCAÇÃO DIGITAL E DIREITOS DA CRIANÇA</w:t>
      </w:r>
    </w:p>
    <w:p>
      <w:pPr>
        <w:spacing w:line="240" w:lineRule="auto" w:after="40"/>
        <w:jc w:val="left"/>
      </w:pPr>
      <w:r>
        <w:rPr>
          <w:rFonts w:ascii="Times New Roman" w:hAnsi="Times New Roman"/>
          <w:sz w:val="24"/>
        </w:rPr>
        <w:t>34. Quando você pensa em “educação digital” nos anos iniciais, o que vem primeiro? (Assinale até duas)</w:t>
      </w:r>
    </w:p>
    <w:p>
      <w:pPr>
        <w:spacing w:line="240" w:lineRule="auto" w:after="40"/>
        <w:jc w:val="left"/>
      </w:pPr>
      <w:r>
        <w:rPr>
          <w:rFonts w:ascii="Times New Roman" w:hAnsi="Times New Roman"/>
          <w:sz w:val="24"/>
        </w:rPr>
        <w:t>[ ] Usar equipamentos e aplicativos nas aulas</w:t>
      </w:r>
    </w:p>
    <w:p>
      <w:pPr>
        <w:spacing w:line="240" w:lineRule="auto" w:after="40"/>
        <w:jc w:val="left"/>
      </w:pPr>
      <w:r>
        <w:rPr>
          <w:rFonts w:ascii="Times New Roman" w:hAnsi="Times New Roman"/>
          <w:sz w:val="24"/>
        </w:rPr>
        <w:t>[ ] Ensinar como a internet e os dispositivos funcionam</w:t>
      </w:r>
    </w:p>
    <w:p>
      <w:pPr>
        <w:spacing w:line="240" w:lineRule="auto" w:after="40"/>
        <w:jc w:val="left"/>
      </w:pPr>
      <w:r>
        <w:rPr>
          <w:rFonts w:ascii="Times New Roman" w:hAnsi="Times New Roman"/>
          <w:sz w:val="24"/>
        </w:rPr>
        <w:t>[ ] Desenvolver leitura crítica do que as crianças veem nas telas</w:t>
      </w:r>
    </w:p>
    <w:p>
      <w:pPr>
        <w:spacing w:line="240" w:lineRule="auto" w:after="40"/>
        <w:jc w:val="left"/>
      </w:pPr>
      <w:r>
        <w:rPr>
          <w:rFonts w:ascii="Times New Roman" w:hAnsi="Times New Roman"/>
          <w:sz w:val="24"/>
        </w:rPr>
        <w:t>[ ] Proteger as crianças de riscos, publicidade e exposição de dados</w:t>
      </w:r>
    </w:p>
    <w:p>
      <w:pPr>
        <w:spacing w:line="240" w:lineRule="auto" w:after="40"/>
        <w:jc w:val="left"/>
      </w:pPr>
      <w:r>
        <w:rPr>
          <w:rFonts w:ascii="Times New Roman" w:hAnsi="Times New Roman"/>
          <w:sz w:val="24"/>
        </w:rPr>
        <w:t>[ ] Garantir que todas as crianças tenham acesso</w:t>
      </w:r>
    </w:p>
    <w:p>
      <w:pPr>
        <w:spacing w:line="240" w:lineRule="auto" w:after="40"/>
        <w:jc w:val="left"/>
      </w:pPr>
      <w:r>
        <w:rPr>
          <w:rFonts w:ascii="Times New Roman" w:hAnsi="Times New Roman"/>
          <w:sz w:val="24"/>
        </w:rPr>
        <w:t>[ ] Permitir que as crianças produzam e se expressem com o digital</w:t>
      </w:r>
    </w:p>
    <w:p>
      <w:pPr>
        <w:spacing w:line="240" w:lineRule="auto" w:after="40"/>
        <w:jc w:val="left"/>
      </w:pPr>
      <w:r>
        <w:rPr>
          <w:rFonts w:ascii="Times New Roman" w:hAnsi="Times New Roman"/>
          <w:sz w:val="24"/>
        </w:rPr>
        <w:t>35. As crianças chegam à escola com experiências desiguais com celulares, computadores e internet?</w:t>
      </w:r>
    </w:p>
    <w:p>
      <w:pPr>
        <w:spacing w:line="240" w:lineRule="auto" w:after="40"/>
        <w:jc w:val="left"/>
      </w:pPr>
      <w:r>
        <w:rPr>
          <w:rFonts w:ascii="Times New Roman" w:hAnsi="Times New Roman"/>
          <w:sz w:val="24"/>
        </w:rPr>
        <w:t>( ) Sim, com contrastes profundos</w:t>
      </w:r>
    </w:p>
    <w:p>
      <w:pPr>
        <w:spacing w:line="240" w:lineRule="auto" w:after="40"/>
        <w:jc w:val="left"/>
      </w:pPr>
      <w:r>
        <w:rPr>
          <w:rFonts w:ascii="Times New Roman" w:hAnsi="Times New Roman"/>
          <w:sz w:val="24"/>
        </w:rPr>
        <w:t>( ) Sim, mas sem grande efeito na rotina</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 ) Não sei informar</w:t>
      </w:r>
    </w:p>
    <w:p>
      <w:pPr>
        <w:spacing w:line="240" w:lineRule="auto" w:after="40"/>
        <w:jc w:val="left"/>
      </w:pPr>
      <w:r>
        <w:rPr>
          <w:rFonts w:ascii="Times New Roman" w:hAnsi="Times New Roman"/>
          <w:sz w:val="24"/>
        </w:rPr>
        <w:t>36. Na sua escola, qual destes direitos das crianças no ambiente digital parece mais distante de ser garantido?</w:t>
      </w:r>
    </w:p>
    <w:p>
      <w:pPr>
        <w:spacing w:line="240" w:lineRule="auto" w:after="40"/>
        <w:jc w:val="left"/>
      </w:pPr>
      <w:r>
        <w:rPr>
          <w:rFonts w:ascii="Times New Roman" w:hAnsi="Times New Roman"/>
          <w:sz w:val="24"/>
        </w:rPr>
        <w:t>( ) Acesso a equipamentos e conexão de qualidade (provisão)</w:t>
      </w:r>
    </w:p>
    <w:p>
      <w:pPr>
        <w:spacing w:line="240" w:lineRule="auto" w:after="40"/>
        <w:jc w:val="left"/>
      </w:pPr>
      <w:r>
        <w:rPr>
          <w:rFonts w:ascii="Times New Roman" w:hAnsi="Times New Roman"/>
          <w:sz w:val="24"/>
        </w:rPr>
        <w:t>( ) Aprender a usar o digital com autonomia e senso crítico (participação)</w:t>
      </w:r>
    </w:p>
    <w:p>
      <w:pPr>
        <w:spacing w:line="240" w:lineRule="auto" w:after="40"/>
        <w:jc w:val="left"/>
      </w:pPr>
      <w:r>
        <w:rPr>
          <w:rFonts w:ascii="Times New Roman" w:hAnsi="Times New Roman"/>
          <w:sz w:val="24"/>
        </w:rPr>
        <w:t>( ) Proteção da privacidade, da imagem e dos dados (proteção)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37. Quais são os principais desafios para a educação digital na sua escola? (Assinale até três)</w:t>
      </w:r>
    </w:p>
    <w:p>
      <w:pPr>
        <w:spacing w:line="240" w:lineRule="auto" w:after="40"/>
        <w:jc w:val="left"/>
      </w:pPr>
      <w:r>
        <w:rPr>
          <w:rFonts w:ascii="Times New Roman" w:hAnsi="Times New Roman"/>
          <w:sz w:val="24"/>
        </w:rPr>
        <w:t>[ ] Formação continuada voltada à infância</w:t>
      </w:r>
    </w:p>
    <w:p>
      <w:pPr>
        <w:spacing w:line="240" w:lineRule="auto" w:after="40"/>
        <w:jc w:val="left"/>
      </w:pPr>
      <w:r>
        <w:rPr>
          <w:rFonts w:ascii="Times New Roman" w:hAnsi="Times New Roman"/>
          <w:sz w:val="24"/>
        </w:rPr>
        <w:t>[ ] Internet instável ou ausente nas salas</w:t>
      </w:r>
    </w:p>
    <w:p>
      <w:pPr>
        <w:spacing w:line="240" w:lineRule="auto" w:after="40"/>
        <w:jc w:val="left"/>
      </w:pPr>
      <w:r>
        <w:rPr>
          <w:rFonts w:ascii="Times New Roman" w:hAnsi="Times New Roman"/>
          <w:sz w:val="24"/>
        </w:rPr>
        <w:t>[ ] Equipamentos insuficientes ou obsoletos</w:t>
      </w:r>
    </w:p>
    <w:p>
      <w:pPr>
        <w:spacing w:line="240" w:lineRule="auto" w:after="40"/>
        <w:jc w:val="left"/>
      </w:pPr>
      <w:r>
        <w:rPr>
          <w:rFonts w:ascii="Times New Roman" w:hAnsi="Times New Roman"/>
          <w:sz w:val="24"/>
        </w:rPr>
        <w:t>[ ] Pouco tempo de planejamento</w:t>
      </w:r>
    </w:p>
    <w:p>
      <w:pPr>
        <w:spacing w:line="240" w:lineRule="auto" w:after="40"/>
        <w:jc w:val="left"/>
      </w:pPr>
      <w:r>
        <w:rPr>
          <w:rFonts w:ascii="Times New Roman" w:hAnsi="Times New Roman"/>
          <w:sz w:val="24"/>
        </w:rPr>
        <w:t>[ ] Falta de suporte técnico</w:t>
      </w:r>
    </w:p>
    <w:p>
      <w:pPr>
        <w:spacing w:line="240" w:lineRule="auto" w:after="40"/>
        <w:jc w:val="left"/>
      </w:pPr>
      <w:r>
        <w:rPr>
          <w:rFonts w:ascii="Times New Roman" w:hAnsi="Times New Roman"/>
          <w:sz w:val="24"/>
        </w:rPr>
        <w:t>[ ] Orientações curriculares pouco claras</w:t>
      </w:r>
    </w:p>
    <w:p>
      <w:pPr>
        <w:spacing w:line="240" w:lineRule="auto" w:after="40"/>
        <w:jc w:val="left"/>
      </w:pPr>
      <w:r>
        <w:rPr>
          <w:rFonts w:ascii="Times New Roman" w:hAnsi="Times New Roman"/>
          <w:sz w:val="24"/>
        </w:rPr>
        <w:t>[ ] Excesso de registros e exigências burocráticas</w:t>
      </w:r>
    </w:p>
    <w:p>
      <w:pPr>
        <w:spacing w:line="240" w:lineRule="auto" w:after="40"/>
        <w:jc w:val="left"/>
      </w:pPr>
      <w:r>
        <w:rPr>
          <w:rFonts w:ascii="Times New Roman" w:hAnsi="Times New Roman"/>
          <w:sz w:val="24"/>
        </w:rPr>
        <w:t>[ ] Outro: ______________</w:t>
      </w:r>
    </w:p>
    <w:p>
      <w:pPr>
        <w:spacing w:line="360" w:lineRule="auto" w:before="240" w:after="240"/>
      </w:pPr>
      <w:r>
        <w:rPr>
          <w:rFonts w:ascii="Times New Roman" w:hAnsi="Times New Roman"/>
          <w:b/>
          <w:sz w:val="24"/>
        </w:rPr>
        <w:t>BLOCO 6 – QUESTÃO ABERTA</w:t>
      </w:r>
    </w:p>
    <w:p>
      <w:pPr>
        <w:spacing w:line="240" w:lineRule="auto" w:after="40"/>
        <w:jc w:val="left"/>
      </w:pPr>
      <w:r>
        <w:rPr>
          <w:rFonts w:ascii="Times New Roman" w:hAnsi="Times New Roman"/>
          <w:sz w:val="24"/>
        </w:rPr>
        <w:t>38. Se desejar, registre comentários sobre a PNED, a realidade da escola ou as condições de trabalho com a cultura digital.</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line="360" w:lineRule="auto" w:before="240" w:after="240"/>
      </w:pPr>
      <w:r>
        <w:rPr>
          <w:rFonts w:ascii="Times New Roman" w:hAnsi="Times New Roman"/>
          <w:b/>
          <w:sz w:val="24"/>
        </w:rPr>
        <w:t>APÊNDICE C – ROTEIRO DE ENTREVISTA SEMIESTRUTURADA EM PROFUNDIDADE</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Objetivo do instrumento: escutar como os profissionais da educação interpretam a PNED, como a traduzem nas condições materiais e territoriais da escola e como respondem às exigências que a acompanham, identificando as formas de atuação produzidas diante da política, sem pressupor a predominância de nenhuma delas.</w:t>
      </w:r>
    </w:p>
    <w:p>
      <w:pPr>
        <w:spacing w:line="240" w:lineRule="auto" w:after="40"/>
        <w:jc w:val="left"/>
      </w:pPr>
      <w:r>
        <w:rPr>
          <w:rFonts w:ascii="Times New Roman" w:hAnsi="Times New Roman"/>
          <w:sz w:val="24"/>
        </w:rPr>
        <w:t>Modalidade: entrevista semiestruturada em profundidade, conduzida como narrativa, com duração prevista entre 60 e 90 minutos.</w:t>
      </w:r>
    </w:p>
    <w:p>
      <w:pPr>
        <w:spacing w:line="240" w:lineRule="auto" w:after="40"/>
        <w:jc w:val="left"/>
      </w:pPr>
      <w:r>
        <w:rPr>
          <w:rFonts w:ascii="Times New Roman" w:hAnsi="Times New Roman"/>
          <w:sz w:val="24"/>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rPr>
        <w:t>PARTE 1 – ROTEIRO BASE (DOCÊNCIA DO 1º AO 5º ANO)</w:t>
      </w:r>
    </w:p>
    <w:p>
      <w:pPr>
        <w:spacing w:line="360" w:lineRule="auto" w:before="240" w:after="240"/>
      </w:pPr>
      <w:r>
        <w:rPr>
          <w:rFonts w:ascii="Times New Roman" w:hAnsi="Times New Roman"/>
          <w:b/>
          <w:sz w:val="24"/>
        </w:rPr>
        <w:t>EIXO 1 – Trajetória e culturas profissionais</w:t>
      </w:r>
    </w:p>
    <w:p>
      <w:pPr>
        <w:spacing w:line="240" w:lineRule="auto" w:after="40"/>
        <w:jc w:val="left"/>
      </w:pPr>
      <w:r>
        <w:rPr>
          <w:rFonts w:ascii="Times New Roman" w:hAnsi="Times New Roman"/>
          <w:sz w:val="24"/>
        </w:rPr>
        <w:t>Questão norteadora: como a sua história na profissão e na escola orienta a sua relação com o digital?</w:t>
      </w:r>
    </w:p>
    <w:p>
      <w:pPr>
        <w:spacing w:line="240" w:lineRule="auto" w:after="40"/>
        <w:jc w:val="left"/>
      </w:pPr>
      <w:r>
        <w:rPr>
          <w:rFonts w:ascii="Times New Roman" w:hAnsi="Times New Roman"/>
          <w:sz w:val="24"/>
        </w:rPr>
        <w:t xml:space="preserve">1. Conte um pouco da sua trajetória na educação e de como chegou à Escola Municipal Domitila Castelo da Silva.</w:t>
      </w:r>
    </w:p>
    <w:p>
      <w:pPr>
        <w:spacing w:line="240" w:lineRule="auto" w:after="40"/>
        <w:jc w:val="left"/>
      </w:pPr>
      <w:r>
        <w:rPr>
          <w:rFonts w:ascii="Times New Roman" w:hAnsi="Times New Roman"/>
          <w:sz w:val="24"/>
        </w:rPr>
        <w:t>2. Como é trabalhar nesta escola? O que a equipe valoriza e o que costuma ser considerado um bom trabalho aqui?</w:t>
      </w:r>
    </w:p>
    <w:p>
      <w:pPr>
        <w:spacing w:line="240" w:lineRule="auto" w:after="40"/>
        <w:jc w:val="left"/>
      </w:pPr>
      <w:r>
        <w:rPr>
          <w:rFonts w:ascii="Times New Roman" w:hAnsi="Times New Roman"/>
          <w:sz w:val="24"/>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rPr>
        <w:t>EIXO 2 – Interpretação: como a PNED chegou e o que se entende dela</w:t>
      </w:r>
    </w:p>
    <w:p>
      <w:pPr>
        <w:spacing w:line="240" w:lineRule="auto" w:after="40"/>
        <w:jc w:val="left"/>
      </w:pPr>
      <w:r>
        <w:rPr>
          <w:rFonts w:ascii="Times New Roman" w:hAnsi="Times New Roman"/>
          <w:sz w:val="24"/>
        </w:rPr>
        <w:t>Questão norteadora: que sentidos você atribui à PNED e à educação digital?</w:t>
      </w:r>
    </w:p>
    <w:p>
      <w:pPr>
        <w:spacing w:line="240" w:lineRule="auto" w:after="40"/>
        <w:jc w:val="left"/>
      </w:pPr>
      <w:r>
        <w:rPr>
          <w:rFonts w:ascii="Times New Roman" w:hAnsi="Times New Roman"/>
          <w:sz w:val="24"/>
        </w:rPr>
        <w:t>5. O que você conhece da Política Nacional de Educação Digital? Por quais caminhos ela chegou até você?</w:t>
      </w:r>
    </w:p>
    <w:p>
      <w:pPr>
        <w:spacing w:line="240" w:lineRule="auto" w:after="40"/>
        <w:jc w:val="left"/>
      </w:pPr>
      <w:r>
        <w:rPr>
          <w:rFonts w:ascii="Times New Roman" w:hAnsi="Times New Roman"/>
          <w:sz w:val="24"/>
        </w:rPr>
        <w:t>6. Houve reuniões, documentos ou formações da escola ou da Secretaria sobre a PNED? Como foram?</w:t>
      </w:r>
    </w:p>
    <w:p>
      <w:pPr>
        <w:spacing w:line="240" w:lineRule="auto" w:after="40"/>
        <w:jc w:val="left"/>
      </w:pPr>
      <w:r>
        <w:rPr>
          <w:rFonts w:ascii="Times New Roman" w:hAnsi="Times New Roman"/>
          <w:sz w:val="24"/>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rPr>
        <w:t>9. Há algo no que a política propõe com que você concorda muito ou de que discorda? O quê?</w:t>
      </w:r>
    </w:p>
    <w:p>
      <w:pPr>
        <w:spacing w:line="360" w:lineRule="auto" w:before="240" w:after="240"/>
      </w:pPr>
      <w:r>
        <w:rPr>
          <w:rFonts w:ascii="Times New Roman" w:hAnsi="Times New Roman"/>
          <w:b/>
          <w:sz w:val="24"/>
        </w:rPr>
        <w:t>EIXO 3 – Tradução: o cotidiano, a dimensão material e o território</w:t>
      </w:r>
    </w:p>
    <w:p>
      <w:pPr>
        <w:spacing w:line="240" w:lineRule="auto" w:after="40"/>
        <w:jc w:val="left"/>
      </w:pPr>
      <w:r>
        <w:rPr>
          <w:rFonts w:ascii="Times New Roman" w:hAnsi="Times New Roman"/>
          <w:sz w:val="24"/>
        </w:rPr>
        <w:t>Questão norteadora: como a educação digital acontece na rotina, diante das condições da escola e de Pipa?</w:t>
      </w:r>
    </w:p>
    <w:p>
      <w:pPr>
        <w:spacing w:line="240" w:lineRule="auto" w:after="40"/>
        <w:jc w:val="left"/>
      </w:pPr>
      <w:r>
        <w:rPr>
          <w:rFonts w:ascii="Times New Roman" w:hAnsi="Times New Roman"/>
          <w:sz w:val="24"/>
        </w:rPr>
        <w:t>10. Como o digital está presente nas suas aulas? Que recursos você usa com mais frequência?</w:t>
      </w:r>
    </w:p>
    <w:p>
      <w:pPr>
        <w:spacing w:line="240" w:lineRule="auto" w:after="40"/>
        <w:jc w:val="left"/>
      </w:pPr>
      <w:r>
        <w:rPr>
          <w:rFonts w:ascii="Times New Roman" w:hAnsi="Times New Roman"/>
          <w:sz w:val="24"/>
        </w:rPr>
        <w:t>11. Descreva uma atividade com recursos digitais que você planejou e conseguiu realizar. O que a tornou possível?</w:t>
      </w:r>
    </w:p>
    <w:p>
      <w:pPr>
        <w:spacing w:line="240" w:lineRule="auto" w:after="40"/>
        <w:jc w:val="left"/>
      </w:pPr>
      <w:r>
        <w:rPr>
          <w:rFonts w:ascii="Times New Roman" w:hAnsi="Times New Roman"/>
          <w:sz w:val="24"/>
        </w:rPr>
        <w:t>12. Agora, uma atividade que você planejou e não conseguiu realizar como pretendia. O que aconteceu?</w:t>
      </w:r>
    </w:p>
    <w:p>
      <w:pPr>
        <w:spacing w:line="240" w:lineRule="auto" w:after="40"/>
        <w:jc w:val="left"/>
      </w:pPr>
      <w:r>
        <w:rPr>
          <w:rFonts w:ascii="Times New Roman" w:hAnsi="Times New Roman"/>
          <w:sz w:val="24"/>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rPr>
        <w:t>EIXO 4 – Performatividade: registros, metas e cobranças</w:t>
      </w:r>
    </w:p>
    <w:p>
      <w:pPr>
        <w:spacing w:line="240" w:lineRule="auto" w:after="40"/>
        <w:jc w:val="left"/>
      </w:pPr>
      <w:r>
        <w:rPr>
          <w:rFonts w:ascii="Times New Roman" w:hAnsi="Times New Roman"/>
          <w:sz w:val="24"/>
        </w:rPr>
        <w:t>Questão norteadora: que exigências acompanham a educação digital e como elas afetam o seu trabalho?</w:t>
      </w:r>
    </w:p>
    <w:p>
      <w:pPr>
        <w:spacing w:line="240" w:lineRule="auto" w:after="40"/>
        <w:jc w:val="left"/>
      </w:pPr>
      <w:r>
        <w:rPr>
          <w:rFonts w:ascii="Times New Roman" w:hAnsi="Times New Roman"/>
          <w:sz w:val="24"/>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rPr>
        <w:t>20. Quem pede esses registros e para que eles servem, na sua percepção?</w:t>
      </w:r>
    </w:p>
    <w:p>
      <w:pPr>
        <w:spacing w:line="240" w:lineRule="auto" w:after="40"/>
        <w:jc w:val="left"/>
      </w:pPr>
      <w:r>
        <w:rPr>
          <w:rFonts w:ascii="Times New Roman" w:hAnsi="Times New Roman"/>
          <w:sz w:val="24"/>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rPr>
        <w:t>EIXO 5 – Formas de atuação diante da política</w:t>
      </w:r>
    </w:p>
    <w:p>
      <w:pPr>
        <w:spacing w:line="240" w:lineRule="auto" w:after="40"/>
        <w:jc w:val="left"/>
      </w:pPr>
      <w:r>
        <w:rPr>
          <w:rFonts w:ascii="Times New Roman" w:hAnsi="Times New Roman"/>
          <w:sz w:val="24"/>
        </w:rPr>
        <w:t>Questão norteadora: como você e a equipe respondem ao que a política pede, quando ele cabe e quando não cabe na realidade da escola?</w:t>
      </w:r>
    </w:p>
    <w:p>
      <w:pPr>
        <w:spacing w:line="240" w:lineRule="auto" w:after="40"/>
        <w:jc w:val="left"/>
      </w:pPr>
      <w:r>
        <w:rPr>
          <w:rFonts w:ascii="Times New Roman" w:hAnsi="Times New Roman"/>
          <w:sz w:val="24"/>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rPr>
        <w:t>25. Há situações em que você decide não realizar uma atividade digital? O que pesa nessa decisão?</w:t>
      </w:r>
    </w:p>
    <w:p>
      <w:pPr>
        <w:spacing w:line="240" w:lineRule="auto" w:after="40"/>
        <w:jc w:val="left"/>
      </w:pPr>
      <w:r>
        <w:rPr>
          <w:rFonts w:ascii="Times New Roman" w:hAnsi="Times New Roman"/>
          <w:sz w:val="24"/>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rPr>
        <w:t>EIXO 6 – Habitar o digital e direitos da criança</w:t>
      </w:r>
    </w:p>
    <w:p>
      <w:pPr>
        <w:spacing w:line="240" w:lineRule="auto" w:after="40"/>
        <w:jc w:val="left"/>
      </w:pPr>
      <w:r>
        <w:rPr>
          <w:rFonts w:ascii="Times New Roman" w:hAnsi="Times New Roman"/>
          <w:sz w:val="24"/>
        </w:rPr>
        <w:t>Questão norteadora: que lugar o digital ocupa na vida das crianças e o que a escola deve garantir a elas?</w:t>
      </w:r>
    </w:p>
    <w:p>
      <w:pPr>
        <w:spacing w:line="240" w:lineRule="auto" w:after="40"/>
        <w:jc w:val="left"/>
      </w:pPr>
      <w:r>
        <w:rPr>
          <w:rFonts w:ascii="Times New Roman" w:hAnsi="Times New Roman"/>
          <w:sz w:val="24"/>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rPr>
        <w:t>ENCERRAMENTO</w:t>
      </w:r>
    </w:p>
    <w:p>
      <w:pPr>
        <w:spacing w:line="240" w:lineRule="auto" w:after="40"/>
        <w:jc w:val="left"/>
      </w:pPr>
      <w:r>
        <w:rPr>
          <w:rFonts w:ascii="Times New Roman" w:hAnsi="Times New Roman"/>
          <w:sz w:val="24"/>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rPr>
        <w:t>PARTE 2 – ADAPTAÇÃO PARA COORDENAÇÃO PEDAGÓGICA E DIREÇÃO</w:t>
      </w:r>
    </w:p>
    <w:p>
      <w:pPr>
        <w:spacing w:line="240" w:lineRule="auto" w:after="40"/>
        <w:jc w:val="left"/>
      </w:pPr>
      <w:r>
        <w:rPr>
          <w:rFonts w:ascii="Times New Roman" w:hAnsi="Times New Roman"/>
          <w:sz w:val="24"/>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rPr>
        <w:t>3. Que orientações, cobranças ou apoios chegam da Secretaria Municipal de Educação em relação à educação digital?</w:t>
      </w:r>
    </w:p>
    <w:p>
      <w:pPr>
        <w:spacing w:line="240" w:lineRule="auto" w:after="40"/>
        <w:jc w:val="left"/>
      </w:pPr>
      <w:r>
        <w:rPr>
          <w:rFonts w:ascii="Times New Roman" w:hAnsi="Times New Roman"/>
          <w:sz w:val="24"/>
        </w:rPr>
        <w:t>4. Como a escola distribui recursos tecnológicos limitados entre as turmas e entre o pedagógico e o administrativo?</w:t>
      </w:r>
    </w:p>
    <w:p>
      <w:pPr>
        <w:spacing w:line="240" w:lineRule="auto" w:after="40"/>
        <w:jc w:val="left"/>
      </w:pPr>
      <w:r>
        <w:rPr>
          <w:rFonts w:ascii="Times New Roman" w:hAnsi="Times New Roman"/>
          <w:sz w:val="24"/>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rPr>
        <w:t>8. Como a gestão avalia a presença de plataformas digitais, programas externos ou empresas parceiras na rotina da escola?</w:t>
      </w:r>
    </w:p>
    <w:p>
      <w:pPr>
        <w:spacing w:line="240" w:lineRule="auto" w:after="40"/>
        <w:jc w:val="left"/>
      </w:pPr>
      <w:r>
        <w:rPr>
          <w:rFonts w:ascii="Times New Roman" w:hAnsi="Times New Roman"/>
          <w:sz w:val="24"/>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rPr>
        <w:t>PARTE 3 – ADAPTAÇÃO PARA OS DEMAIS PROFISSIONAIS DA EDUCAÇÃO</w:t>
      </w:r>
    </w:p>
    <w:p>
      <w:pPr>
        <w:spacing w:line="240" w:lineRule="auto" w:after="40"/>
        <w:jc w:val="left"/>
      </w:pPr>
      <w:r>
        <w:rPr>
          <w:rFonts w:ascii="Times New Roman" w:hAnsi="Times New Roman"/>
          <w:sz w:val="24"/>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rPr>
        <w:t>1. Conte sua trajetória e descreva o que a sua função faz no dia a dia das turmas do 1º ao 5º ano.</w:t>
      </w:r>
    </w:p>
    <w:p>
      <w:pPr>
        <w:spacing w:line="240" w:lineRule="auto" w:after="40"/>
        <w:jc w:val="left"/>
      </w:pPr>
      <w:r>
        <w:rPr>
          <w:rFonts w:ascii="Times New Roman" w:hAnsi="Times New Roman"/>
          <w:sz w:val="24"/>
        </w:rPr>
        <w:t>2. O que você conhece da PNED e da educação digital? Por quais caminhos isso chegou até você?</w:t>
      </w:r>
    </w:p>
    <w:p>
      <w:pPr>
        <w:spacing w:line="240" w:lineRule="auto" w:after="40"/>
        <w:jc w:val="left"/>
      </w:pPr>
      <w:r>
        <w:rPr>
          <w:rFonts w:ascii="Times New Roman" w:hAnsi="Times New Roman"/>
          <w:sz w:val="24"/>
        </w:rPr>
        <w:t>3. De que modo o seu trabalho participa, ou poderia participar, das atividades de educação digital da escola?</w:t>
      </w:r>
    </w:p>
    <w:p>
      <w:pPr>
        <w:spacing w:line="240" w:lineRule="auto" w:after="40"/>
        <w:jc w:val="left"/>
      </w:pPr>
      <w:r>
        <w:rPr>
          <w:rFonts w:ascii="Times New Roman" w:hAnsi="Times New Roman"/>
          <w:sz w:val="24"/>
        </w:rPr>
        <w:t>4. Que recursos, tempos ou apoios a sua função tem para isso, e o que falta?</w:t>
      </w:r>
    </w:p>
    <w:p>
      <w:pPr>
        <w:spacing w:line="240" w:lineRule="auto" w:after="40"/>
        <w:jc w:val="left"/>
      </w:pPr>
      <w:r>
        <w:rPr>
          <w:rFonts w:ascii="Times New Roman" w:hAnsi="Times New Roman"/>
          <w:sz w:val="24"/>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rPr>
        <w:t>PARTE 4 – ADAPTAÇÃO PARA O TÉCNICO DA SECRETARIA MUNICIPAL DE EDUCAÇÃO</w:t>
      </w:r>
    </w:p>
    <w:p>
      <w:pPr>
        <w:spacing w:line="240" w:lineRule="auto" w:after="40"/>
        <w:jc w:val="left"/>
      </w:pPr>
      <w:r>
        <w:rPr>
          <w:rFonts w:ascii="Times New Roman" w:hAnsi="Times New Roman"/>
          <w:sz w:val="24"/>
        </w:rPr>
        <w:t>Fonte complementar sobre o contexto externo. O técnico participa apenas da entrevista. As perguntas tratam de como as orientações nacionais são recebidas e encaminhadas pela gestão municipal antes de chegar à escola.</w:t>
      </w:r>
    </w:p>
    <w:p>
      <w:pPr>
        <w:spacing w:line="240" w:lineRule="auto" w:after="40"/>
        <w:jc w:val="left"/>
      </w:pPr>
      <w:r>
        <w:rPr>
          <w:rFonts w:ascii="Times New Roman" w:hAnsi="Times New Roman"/>
          <w:sz w:val="24"/>
        </w:rPr>
        <w:t>1. Conte sua trajetória e como se organiza a sua função na Secretaria em relação à educação digital.</w:t>
      </w:r>
    </w:p>
    <w:p>
      <w:pPr>
        <w:spacing w:line="240" w:lineRule="auto" w:after="40"/>
        <w:jc w:val="left"/>
      </w:pPr>
      <w:r>
        <w:rPr>
          <w:rFonts w:ascii="Times New Roman" w:hAnsi="Times New Roman"/>
          <w:sz w:val="24"/>
        </w:rPr>
        <w:t>2. Como a PNED chegou à Secretaria e que encaminhamentos foram dados a ela no município?</w:t>
      </w:r>
    </w:p>
    <w:p>
      <w:pPr>
        <w:spacing w:line="240" w:lineRule="auto" w:after="40"/>
        <w:jc w:val="left"/>
      </w:pPr>
      <w:r>
        <w:rPr>
          <w:rFonts w:ascii="Times New Roman" w:hAnsi="Times New Roman"/>
          <w:sz w:val="24"/>
        </w:rPr>
        <w:t>3. Que orientações, documentos ou formações a Secretaria ofereceu às escolas sobre educação digital? Desde quando?</w:t>
      </w:r>
    </w:p>
    <w:p>
      <w:pPr>
        <w:spacing w:line="240" w:lineRule="auto" w:after="40"/>
        <w:jc w:val="left"/>
      </w:pPr>
      <w:r>
        <w:rPr>
          <w:rFonts w:ascii="Times New Roman" w:hAnsi="Times New Roman"/>
          <w:sz w:val="24"/>
        </w:rPr>
        <w:t>4. Como a Secretaria acompanha o trabalho das escolas nessa área? Que registros ou informações pede a elas?</w:t>
      </w:r>
    </w:p>
    <w:p>
      <w:pPr>
        <w:spacing w:line="240" w:lineRule="auto" w:after="40"/>
        <w:jc w:val="left"/>
      </w:pPr>
      <w:r>
        <w:rPr>
          <w:rFonts w:ascii="Times New Roman" w:hAnsi="Times New Roman"/>
          <w:sz w:val="24"/>
        </w:rPr>
        <w:t>5. Que condições, em equipamentos, conexão, suporte técnico e formação, a rede consegue oferecer às escolas, e o que fica a cargo de cada escola?</w:t>
      </w:r>
    </w:p>
    <w:p>
      <w:pPr>
        <w:spacing w:line="240" w:lineRule="auto" w:after="40"/>
        <w:jc w:val="left"/>
      </w:pPr>
      <w:r>
        <w:rPr>
          <w:rFonts w:ascii="Times New Roman" w:hAnsi="Times New Roman"/>
          <w:sz w:val="24"/>
        </w:rPr>
        <w:t>6. Quais são, na sua avaliação, os principais desafios do município para garantir às crianças os direitos que a lei associa à educação digital?</w:t>
      </w:r>
    </w:p>
    <w:p>
      <w:pPr>
        <w:spacing w:line="360" w:lineRule="auto" w:before="240" w:after="240"/>
      </w:pPr>
      <w:r>
        <w:rPr>
          <w:rFonts w:ascii="Times New Roman" w:hAnsi="Times New Roman"/>
          <w:b/>
          <w:sz w:val="24"/>
        </w:rPr>
        <w:t>PARTE 5 – DIRETRIZES DE APLICAÇÃO</w:t>
      </w:r>
    </w:p>
    <w:p>
      <w:pPr>
        <w:spacing w:line="240" w:lineRule="auto" w:after="40"/>
        <w:jc w:val="left"/>
      </w:pPr>
      <w:r>
        <w:rPr>
          <w:rFonts w:ascii="Times New Roman" w:hAnsi="Times New Roman"/>
          <w:sz w:val="24"/>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rPr>
        <w:t xml:space="preserve">Linguagem: as categorias analíticas (performatividade, fabricação, omissão seletiva, resistência)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rPr>
        <w:t xml:space="preserve">Cuidado ético adicional: relatos sobre registros que não correspondem à prática serão tratados como expressão das condições de trabalho, sem serem tomados como falta individual; nenhum trecho permitirá identificar o participante.</w:t>
      </w:r>
    </w:p>
    <w:p>
      <w:pPr>
        <w:spacing w:line="240" w:lineRule="auto" w:after="40"/>
        <w:jc w:val="left"/>
      </w:pPr>
      <w:r>
        <w:rPr>
          <w:rFonts w:ascii="Times New Roman" w:hAnsi="Times New Roman"/>
          <w:sz w:val="24"/>
        </w:rPr>
        <w:t>Diário de campo: registrar expressões, hesitações, ênfases e silêncios, que subsidiarão a análise e a reflexividade da pesquisadora.</w:t>
      </w:r>
    </w:p>
    <w:sectPr w:rsidR="00FC693F" w:rsidRPr="0006063C" w:rsidSect="00034616">
      <w:headerReference w:type="default" r:id="rId9"/>
      <w:footerReference w:type="default" r:id="rId10"/>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