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FALAS DA QUALIFICAÇÃO</w:t>
      </w:r>
    </w:p>
    <w:p>
      <w:pPr>
        <w:jc w:val="center"/>
      </w:pPr>
      <w:r>
        <w:rPr>
          <w:i/>
          <w:sz w:val="21"/>
        </w:rPr>
        <w:t>A encenação da PNED em Tibau do Sul/RN · Yzynya Silva Rezende Machado · 25 minutos</w:t>
      </w:r>
    </w:p>
    <w:p>
      <w:pPr>
        <w:keepNext/>
        <w:spacing w:before="160"/>
      </w:pPr>
      <w:r>
        <w:rPr>
          <w:b/>
          <w:color w:val="2E349C"/>
        </w:rPr>
        <w:t>Slide 1 · Capa</w:t>
      </w:r>
      <w:r>
        <w:rPr>
          <w:color w:val="666666"/>
          <w:sz w:val="19"/>
        </w:rPr>
        <w:t xml:space="preserve">   35 s · até 00:35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Bom dia (ou boa tarde) a todas e a todos. Agradeço à banca pela leitura cuidadosa do texto e à professora Maria Cristina Leandro de Paiva pela orientação. Apresento o projeto de tese A encenação da Política Nacional de Educação Digital em Tibau do Sul: da Secretaria Municipal de Educação à escola de Pipa, entre culturas profissionais, território e resistências. A fotografia é da entrada da Escola Municipal Domitila Castelo da Silva.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2 · Roteiro</w:t>
      </w:r>
      <w:r>
        <w:rPr>
          <w:color w:val="666666"/>
          <w:sz w:val="19"/>
        </w:rPr>
        <w:t xml:space="preserve">   25 s · até 01:00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A apresentação segue a ordem do texto. Começo pelo objeto, pela questão e pelos objetivos. Passo à revisão sistemática, aos fundamentos teóricos e à metodologia. Depois trago a agenda global e a PNED e, por fim, o caminho do município à escola, que me leva à tese de partida e aos próximos passos.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3 · Objeto</w:t>
      </w:r>
      <w:r>
        <w:rPr>
          <w:color w:val="666666"/>
          <w:sz w:val="19"/>
        </w:rPr>
        <w:t xml:space="preserve">   55 s · até 01:55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O objeto desta tese é a encenação da Política Nacional de Educação Digital, instituída pela Lei nº 14.533, de 2023, no eixo Educação Digital Escolar, na Escola Municipal Domitila Castelo da Silva, em Pipa. O foco está nos profissionais dos anos iniciais, do 1º ao 5º ano: professoras e professores, coordenação, direção e apoio pedagógico. Para chegar a Pipa, a pesquisa percorre um caminho em funil. Parte do território municipal de Tibau do Sul e dos documentos da Secretaria Municipal de Educação e pergunta se eles consideram a realidade diversa de cada localidade, até chegar à escola. Trabalho com a ideia de Ball, Maguire e Braun de que as atuações são coletivas, criativas e limitadas.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4 · Questão de pesquisa</w:t>
      </w:r>
      <w:r>
        <w:rPr>
          <w:color w:val="666666"/>
          <w:sz w:val="19"/>
        </w:rPr>
        <w:t xml:space="preserve">   60 s · até 02:55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Daí a questão que orienta a pesquisa: como a Política Nacional de Educação Digital é recontextualizada e encenada pelos profissionais da educação de Tibau do Sul (RN), da Secretaria Municipal de Educação à escola de Pipa, atravessados pelas culturas profissionais, pelas condições materiais e institucionais e pelas especificidades do lugar, e que formas de atuação emergem desse processo, entre acomodações, negociações, ressignificações e resistências? O infográfico mostra como as partes se ligam. A resistência é uma possibilidade a examinar nos dados, sem ser pressuposta. E, com Stuart Hall, numa aproximação nossa, entendo que os sentidos organizam as ações; por isso, as narrativas dos profissionais ocupam o centro da produção de dados.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5 · Objetivos</w:t>
      </w:r>
      <w:r>
        <w:rPr>
          <w:color w:val="666666"/>
          <w:sz w:val="19"/>
        </w:rPr>
        <w:t xml:space="preserve">   80 s · até 04:15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O objetivo geral é analisar a recontextualização da Política Nacional de Educação Digital da Secretaria Municipal de Educação de Tibau do Sul até o contexto da prática da Escola Municipal Domitila Castelo da Silva, em Pipa, considerando a diversidade socioespacial do território municipal, as culturas profissionais e as condições materiais e institucionais da rede e da escola. O caminho do município a Pipa já está no objetivo geral, e os quatro específicos se concentram na escola. O primeiro é compreender a interpretação da política e das orientações municipais pelos profissionais, à luz de suas experiências, crenças e valores. O segundo é examinar a relação entre as condições da escola, articuladas às especificidades de Pipa, e a tradução da política em ações cotidianas. O terceiro é identificar as formas de atuação produzidas, da adesão à resistência. O quarto é discutir as implicações dessas formas de atuação para a provisão, a proteção e a participação das crianças no ambiente digital.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6 · Relevâncias da pesquisa</w:t>
      </w:r>
      <w:r>
        <w:rPr>
          <w:color w:val="666666"/>
          <w:sz w:val="19"/>
        </w:rPr>
        <w:t xml:space="preserve">   60 s · até 05:15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Vejo cinco relevâncias nesta pesquisa. Para as crianças, porque o eixo lhes promete participação consciente e democrática e proteção dos dados, e nos anos iniciais a escola pode ser o primeiro espaço público em que o digital é discutido com alguém responsável pelo ensino. Para os profissionais, porque olhamos a política a partir de quem a faz acontecer, sem cobrar de cada um o que só o desenho da política poderia garantir. Para o território, porque Tibau do Sul reúne localidades muito distintas numa mesma rede, e em Pipa o uso econômico intenso das tecnologias convive com salas sem telas. Para a ciência, pela leitura da PNED a partir do contexto da prática. E para a rede, que saberá se a tradução municipal da política considera essas diferenças e o que chega a Pipa.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7 · Ineditismo</w:t>
      </w:r>
      <w:r>
        <w:rPr>
          <w:color w:val="666666"/>
          <w:sz w:val="19"/>
        </w:rPr>
        <w:t xml:space="preserve">   55 s · até 06:10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O ineditismo aparece em três planos. No empírico-temporal, acompanhamos a chegada da PNED a uma escola de Pipa, lida a partir da rede, enquanto ela acontece: a lei é de 2023, a educação digital virou componente curricular no fim daquele ano e a Resolução CNE/CEB nº 2, de 2025, marcou a implementação para 2026, e nenhum dos nove estudos da revisão examina essa política ou uma rede municipal de pequeno porte. No analítico-espacial, Pipa está no centro, lida dentro de um território municipal diverso, com Milton Santos e com Doreen Massey. No teórico-conceitual, articulamos atuação, culturas profissionais, materialidade e território, e daí nasce a formulação habitar o digital.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8 · Divisor: Revisão sistemática</w:t>
      </w:r>
      <w:r>
        <w:rPr>
          <w:color w:val="666666"/>
          <w:sz w:val="19"/>
        </w:rPr>
        <w:t xml:space="preserve">   10 s · até 06:20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Passo agora ao segundo capítulo, a revisão sistemática da literatura.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9 · Percurso e respostas da revisão</w:t>
      </w:r>
      <w:r>
        <w:rPr>
          <w:color w:val="666666"/>
          <w:sz w:val="19"/>
        </w:rPr>
        <w:t xml:space="preserve">   60 s · até 07:20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A revisão partiu de uma pergunta: o que a produção científica evidencia sobre a implementação de políticas públicas de educação digital nos anos iniciais do Ensino Fundamental? Seguimos a declaração PRISMA 2020, estruturamos a questão pelo modelo PICo e fizemos a síntese temática proposta por Thomas e Harden. As sete bases retornaram 176 registros; avaliamos 35 textos completos e chegamos a nove estudos, publicados entre 2021 e 2024. Os condicionantes incluem, além de equipamentos e conectividade, formação continuada, estabilidade das equipes, tempo de trabalho e o próprio marco regulatório. O papel dos profissionais recebeu a resposta mais convergente: a política é feita de interpretação e de decisões situadas. Os sentidos de cultura digital e de formação cidadã têm apoio frágil.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10 · O que a revisão decidiu</w:t>
      </w:r>
      <w:r>
        <w:rPr>
          <w:color w:val="666666"/>
          <w:sz w:val="19"/>
        </w:rPr>
        <w:t xml:space="preserve">   80 s · até 08:40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A revisão orientou decisões da tese, e esta lâmina mostra cada uma delas. Os estudos tratam os anos iniciais em bloco e quase não delimitam o ciclo de alfabetização; por isso, a tese delimita o 1º ao 5º ano, com esse ciclo incluído. Nenhum estudo examina a PNED nem uma rede municipal de pequeno porte; a tese toma o eixo Educação Digital Escolar como objeto, numa escola de Pipa, lida a partir da rede municipal. Predominam respostas emergenciais à pandemia; a tese estuda a política no funcionamento ordinário da escola. O corpus mostra que as condições vão além do equipamento e que os profissionais interpretam a política, e daí nasce a pergunta sobre o que eles fazem quando a condição anunciada não chega. Cultura digital e formação cidadã têm apoio frágil, e as crianças não aparecem como sujeitos; o tema será tratado de modo exploratório, ouvindo os profissionais, sem avaliar efeitos sobre as crianças. Por fim, os três eixos da revisão serviram de referência para o questionário e as entrevistas, sem virar categorias fechadas.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11 · Divisor: Fundamentos teóricos</w:t>
      </w:r>
      <w:r>
        <w:rPr>
          <w:color w:val="666666"/>
          <w:sz w:val="19"/>
        </w:rPr>
        <w:t xml:space="preserve">   10 s · até 08:50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Com essas escolhas feitas, passo aos fundamentos teóricos, que acompanham a política do texto ao ato.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12 · Do texto ao ato</w:t>
      </w:r>
      <w:r>
        <w:rPr>
          <w:color w:val="666666"/>
          <w:sz w:val="19"/>
        </w:rPr>
        <w:t xml:space="preserve">   85 s · até 10:15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O capítulo 3 organiza a teoria pelo caminho da política. A Abordagem do Ciclo de Políticas, de Bowe, Ball e Gold, sistematizada no Brasil por Mainardes, entende a política como processo contínuo, em que formulação e prática se influenciam. No contexto de influência, agendas e discursos disputam as finalidades da educação digital. No contexto da produção do texto, essas disputas ganham forma na Lei nº 14.533 e na Resolução CNE/CEB nº 2, e ali se lê o que a lei pede e com que meios. Esses dois contextos são examinados no capítulo 5. No contexto da prática, a política é posta em ato, primeiro na Secretaria, que a traduz para a rede, e depois na escola. É aqui que entra a teoria da atuação de Ball, Maguire e Braun, com quatro dimensões: a situada, que traz Pipa e a história da escola; a das culturas profissionais; a material, com prédio, equipamentos e conexão; e a externa, que nesta tese tem fonte própria na Secretaria. Esse contexto é tratado nos capítulos 6 e 7.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13 · No contexto da prática</w:t>
      </w:r>
      <w:r>
        <w:rPr>
          <w:color w:val="666666"/>
          <w:sz w:val="19"/>
        </w:rPr>
        <w:t xml:space="preserve">   70 s · até 11:25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Dentro do contexto da prática, três noções ajudam a entender o que acontece com a política. As culturas profissionais filtram a leitura. Com Hargreaves, são crenças, valores, hábitos e formas de fazer das comunidades de professores, que podem tomar a forma do individualismo, da colaboração, da colegialidade artificial ou da balcanização. A performatividade pressiona. Ball a descreve como prestação de contas feita de julgamentos, comparações e exposições, e chama de fabricação a escola produzida para ser vista; essa pressão recai sobre um tempo de trabalho já ocupado, como mostram Queiroz e Paiva. As relações de poder tensionam. Com Foucault, o poder não é unívoco e tem focos de instabilidade; por isso as formas de atuação vão da adesão à resistência, sem que nenhuma seja pressuposta, e sem culpar nem heroicizar os sujeitos, como adverte Ball.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14 · Onde a política é posta em ato: território e lugar</w:t>
      </w:r>
      <w:r>
        <w:rPr>
          <w:color w:val="666666"/>
          <w:sz w:val="19"/>
        </w:rPr>
        <w:t xml:space="preserve">   55 s · até 12:20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Falta dizer onde a política é posta em ato. Com Milton Santos, a categoria de análise é o território usado, e as rugosidades são o que fica do passado como forma e paisagem. Com Doreen Massey, o lugar é um encontro de trajetórias, e com Castells, Pipa se liga a um espaço de fluxos que ultrapassa o lugar. Santos nomeia ainda a dissonância entre os usos econômicos e os usos sociais dos mesmos recursos: em Pipa, a densidade tecnológica do turismo convive com a escassez nas salas da escola. Massey impede que essa distância seja lida como atraso: escola e polo turístico são contemporâneos.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15 · O digital</w:t>
      </w:r>
      <w:r>
        <w:rPr>
          <w:color w:val="666666"/>
          <w:sz w:val="19"/>
        </w:rPr>
        <w:t xml:space="preserve">   65 s · até 13:25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O que atravessa a tese, e a torna necessária, é o digital. Chamo de habitar o digital as maneiras pelas quais as tecnologias digitais atravessam os espaços, as relações e as práticas cotidianas de um território, produzindo possibilidades desiguais de acesso, participação e apropriação, com Schlemmer, Backes e Palagi e com Di Felice. Essa compreensão precisa ser ensinada: Buckingham lembra que as crianças não sabem naturalmente usar computadores, Valente adverte que computadores sem preparo dos professores não trazem os benefícios esperados, e Castells, que ser excluído das redes é uma das formas mais danosas de exclusão. E o ambiente em que isso acontece tem donos e interesses: Zuboff, Silveira e Morozov tratam dos dados e das soluções prontas, e Pretto lembra que as crianças podem produzir cultura.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16 · Divisor: Metodologia</w:t>
      </w:r>
      <w:r>
        <w:rPr>
          <w:color w:val="666666"/>
          <w:sz w:val="19"/>
        </w:rPr>
        <w:t xml:space="preserve">   10 s · até 13:35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Vejamos como esse quadro se converte em procedimentos, no capítulo 4.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17 · Desenho e participantes</w:t>
      </w:r>
      <w:r>
        <w:rPr>
          <w:color w:val="666666"/>
          <w:sz w:val="19"/>
        </w:rPr>
        <w:t xml:space="preserve">   50 s · até 14:25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A pesquisa é qualitativa e interpretativa, como a define Minayo, e se organiza como estudo de caso único, nos termos de Yin: o caso é a encenação da PNED na escola de Pipa. O percurso em funil passa pelo território municipal e pelos documentos da Secretaria antes de chegar a Pipa e à escola. Não faremos observação de aula, delimitação que Ball, Maguire e Braun também adotaram. Participam um técnico da Secretaria, cuja entrevista abre o campo, e 24 profissionais da escola. A escola tem 351 crianças em quinze turmas, que não participam da produção de dados.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18 · Construção dos dados</w:t>
      </w:r>
      <w:r>
        <w:rPr>
          <w:color w:val="666666"/>
          <w:sz w:val="19"/>
        </w:rPr>
        <w:t xml:space="preserve">   50 s · até 15:15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Os dados serão construídos em cinco movimentos, da rede à escola. O primeiro é a análise documental: o plano da rede, o currículo e as formações da Secretaria e, na escola, o Projeto Político-Pedagógico e os planos, documentos já solicitados ao técnico e à direção. O segundo lê o território municipal com dados do IBGE e do Censo Escolar e reúne as 38 imagens de Pipa e da escola. O terceiro é o questionário; o quarto, as entrevistas, começando pelo técnico; o quinto, a análise e a devolutiva. A emenda ao Comitê de Ética, com a Secretaria como coparticipante, ainda será submetida.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19 · Divisor: Agenda global e PNED</w:t>
      </w:r>
      <w:r>
        <w:rPr>
          <w:color w:val="666666"/>
          <w:sz w:val="19"/>
        </w:rPr>
        <w:t xml:space="preserve">   10 s · até 15:25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O capítulo 5 lê os contextos de influência e de produção do texto.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20 · O que outros territórios nos ensinam</w:t>
      </w:r>
      <w:r>
        <w:rPr>
          <w:color w:val="666666"/>
          <w:sz w:val="19"/>
        </w:rPr>
        <w:t xml:space="preserve">   65 s · até 16:30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O capítulo começa pelas agendas da UNESCO, da OCDE e do Banco Mundial, que, com suas diferenças, deslocam o foco da presença dos recursos para as condições, os usos e as finalidades. Em seguida, compara experiências de outros territórios. O mapa reúne nove casos nas Américas, dez na Europa e o Brasil em destaque, e a cor indica a categoria principal que cada experiência informa. Nos Estados Unidos, os fossos de acesso, desenho e uso; no Uruguai, o Plan Ceibal, com acesso universal e continuidade entre governos; na Argentina, três reversões normativas em quinze anos. Na Europa, a União Europeia oferece referenciais comuns e uma estratégia de proteção infantil; a Alemanha mostra que recursos não substituem a coordenação entre escalas; e a Finlândia delega ao município a decisão sobre o uso das tecnologias, cadeia parecida com a que acompanhamos em Tibau do Sul.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21 · O que a comparação traz para a tese</w:t>
      </w:r>
      <w:r>
        <w:rPr>
          <w:color w:val="666666"/>
          <w:sz w:val="19"/>
        </w:rPr>
        <w:t xml:space="preserve">   75 s · até 17:45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O que essa comparação traz para a tese? Das recorrências e das diferenças saem cinco categorias sensibilizadoras, que vão orientar a leitura do campo. A governança, porque coordenar escalas faz parte da política, e perguntaremos o que chega da União e do estado à rede e o que a Secretaria repassa à escola. A formação, porque a mediação dos profissionais é condição do uso, e perguntaremos que formação chegou e quando. A infraestrutura, condição relevante e insuficiente, que leva à pergunta sobre os equipamentos com que se trabalha. A continuidade institucional, que leva à história da rede municipal. E a cultura digital, ligada à cidadania e à proteção, que pergunta o que se faz com crianças de seis a dez anos. Nenhuma experiência descreve Pipa, e fica a pergunta que nenhum caso responde: o que acontece quando a PNED chega a uma escola onde parte dessas condições não está garantida?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22 · A PNED e o vazio material</w:t>
      </w:r>
      <w:r>
        <w:rPr>
          <w:color w:val="666666"/>
          <w:sz w:val="19"/>
        </w:rPr>
        <w:t xml:space="preserve">   85 s · até 19:10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A leitura da lei me levou ao ponto que considero mais frágil. Começo pelo que a lei entende por educação digital: letramento digital e informacional e aprendizagem de computação, programação, robótica e outras competências digitais, em todos os níveis e modalidades. Há o que é inegociável. Desde a derrubada do veto, em dezembro de 2023, a educação digital é componente curricular obrigatório do ensino fundamental; a LDB passou a incluí-la entre os deveres do Estado, com conectividade garantida às escolas públicas; e a resolução de 2025 marcou a implementação dos currículos para 2026. Do outro lado estão os meios. A formação aparece como ação de promoção, a inclusão digital se desenvolve dentro dos limites orçamentários de cada ente, e o artigo 11 não cria fundo próprio nem transferência obrigatória aos municípios. Chamo esse desenho de vazio material: a obrigação tem data, e os meios não. Trato isso como proposição a verificar no campo; para separar o desenho da lei da capacidade fiscal do município, ainda preciso reunir os dados de receita e de gasto em educação de Tibau do Sul.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23 · Divisor: Do município à escola</w:t>
      </w:r>
      <w:r>
        <w:rPr>
          <w:color w:val="666666"/>
          <w:sz w:val="19"/>
        </w:rPr>
        <w:t xml:space="preserve">   10 s · até 19:20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Chego ao capítulo 6, que percorre o caminho de Tibau do Sul até Pipa e até a escola.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24 · Tibau do Sul</w:t>
      </w:r>
      <w:r>
        <w:rPr>
          <w:color w:val="666666"/>
          <w:sz w:val="19"/>
        </w:rPr>
        <w:t xml:space="preserve">   65 s · até 20:25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Tibau do Sul tem 102 quilômetros quadrados e tinha 16.929 habitantes no Censo de 2022; em 2010, cerca de 40% da população vivia em área rural, dado que ainda vou conferir. O IBGE reconhece só o distrito sede, mas o município se organiza em localidades muito diferentes: a sede, Pipa, Piau, os povoados rurais e Sibaúma, comunidade quilombola certificada pela Fundação Palmares em 2005. A rede tem escolas nesses lugares, e a história delas importa: em Sibaúma, entre 2007 e 2009, a escola recebeu dois computadores que estragaram sem manutenção, e a internet foi desativada, como registra Silva. Segundo o técnico da Secretaria, há um plano elaborado para a rede como um todo. A pergunta é se a tradução municipal da PNED considera essas diferenças e o que chega, por esse caminho, a Pipa.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25 · Pipa</w:t>
      </w:r>
      <w:r>
        <w:rPr>
          <w:color w:val="666666"/>
          <w:sz w:val="19"/>
        </w:rPr>
        <w:t xml:space="preserve">   35 s · até 21:00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Pipa é o foco da tese. Nos anos 1970, era uma comunidade agrícola e pesqueira; os surfistas chegaram em meados daquela década, e a divulgação se intensificou nos anos 1990, como registra Aires. As fotografias acompanham esse percurso: a embarcação artesanal, os surfistas em abril de 1991 e a vista aérea de hoje. Hoje, pousadas, restaurantes e passeios se vendem pela internet. Em Pipa, o digital já move a economia do lugar.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26 · A escola</w:t>
      </w:r>
      <w:r>
        <w:rPr>
          <w:color w:val="666666"/>
          <w:sz w:val="19"/>
        </w:rPr>
        <w:t xml:space="preserve">   50 s · até 21:50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Na escola, o retrato é outro. O laboratório de informática foi fotografado com os equipamentos desligados, nas salas dos primeiros anos não havia nenhum dispositivo, e as crianças se alfabetizam com um alfabeto móvel feito à mão. Segundo informação preliminar, ainda a confirmar, os computadores foram comprados pela Prefeitura em 2022. Chamamos essa situação de rugosidade tecnológica, com Milton Santos: a forma permanece aguardando o próximo movimento dinâmico da sociedade. O caso de Sibaúma sugere que essa história pode se repetir na rede. E Massey nos impede de ler a distância entre a escola e o polo turístico como atraso: os dois são contemporâneos.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27 · Tese de partida e formulações</w:t>
      </w:r>
      <w:r>
        <w:rPr>
          <w:color w:val="666666"/>
          <w:sz w:val="19"/>
        </w:rPr>
        <w:t xml:space="preserve">   75 s · até 23:05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Com isso chego à tese de partida. A forma assumida pela PNED no cotidiano escolar resulta da relação entre o que ela prescreve, o que a rede municipal traduz e as condições sob as quais os profissionais precisam atuar. Dessa relação podem surgir adesão, acomodação, adaptação, omissão seletiva, negociação, ressignificação e resistência, e esta última permanece hipótese a examinar nos dados. As condições materiais fazem parte da política; Bowe, Ball e Gold já diziam que as políticas carregam restrições e possibilidades materiais. A tese chega à qualificação com três formulações para confrontar com o campo. Habitar o digital pergunta quem consegue habitar o digital, em que condições e com quais possibilidades de participação. Rugosidade tecnológica nomeia os equipamentos de 2022, anteriores à lei, chamados a cumprir nova função. Vazio material nomeia a exigência curricular com data marcada e meios sem mecanismo federativo obrigatório. As três poderão ser confirmadas, revistas ou abandonadas diante dos dados.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28 · A questão aberta</w:t>
      </w:r>
      <w:r>
        <w:rPr>
          <w:color w:val="666666"/>
          <w:sz w:val="19"/>
        </w:rPr>
        <w:t xml:space="preserve">   35 s · até 23:40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Chego à questão que atravessa toda a pesquisa. A política fez da educação digital um direito e deixou os meios na dependência de cada ente federado. A pergunta de fundo, que só as narrativas dos profissionais podem responder, é esta: quando a política não faz chegar o equipamento nem a formação, quem paga, no cotidiano escolar, por esse vazio material e formativo? E o que isso significa para os direitos que a lei prometeu às crianças?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29 · O que foi feito e o que falta fazer</w:t>
      </w:r>
      <w:r>
        <w:rPr>
          <w:color w:val="666666"/>
          <w:sz w:val="19"/>
        </w:rPr>
        <w:t xml:space="preserve">   70 s · até 24:50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Para encerrar, o que foi feito e o que falta fazer. Integralizei 315 das 330 horas de componentes curriculares e a proficiência em espanhol. O projeto foi aprovado no Comitê de Ética; o texto de qualificação reúne a revisão, os fundamentos, a metodologia, a agenda e a PNED e o território de Pipa e da escola; o registro iconográfico está feito, e os documentos já foram solicitados à direção e à Secretaria. Apresentei a pesquisa no ConWiTE, no ConBAlf e no Colóquio de Políticas Educacionais. Falta submeter a emenda ao Comitê de Ética, com a Secretaria como coparticipante e o projeto atualizado à PNED; realizar o campo em dez semanas, começando pelo técnico da Secretaria; transcrever, analisar e fazer a devolutiva; e escrever o capítulo 7, revisando os capítulos com as contribuições desta banca. Restam ainda dois seminários, a proficiência em inglês, os artigos, o depósito e a defesa.</w:t>
            </w:r>
          </w:p>
        </w:tc>
      </w:tr>
    </w:tbl>
    <w:p>
      <w:pPr>
        <w:keepNext/>
        <w:spacing w:before="160"/>
      </w:pPr>
      <w:r>
        <w:rPr>
          <w:b/>
          <w:color w:val="2E349C"/>
        </w:rPr>
        <w:t>Slide 30 · Agradecimento</w:t>
      </w:r>
      <w:r>
        <w:rPr>
          <w:color w:val="666666"/>
          <w:sz w:val="19"/>
        </w:rPr>
        <w:t xml:space="preserve">   10 s · até 25:00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EF0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/>
              <w:jc w:val="both"/>
            </w:pPr>
            <w:r/>
            <w:r>
              <w:rPr>
                <w:sz w:val="25"/>
              </w:rPr>
              <w:t>Agradeço a atenção e fico à disposição para ouvir as considerações da banca, que vão ajudar a tornar esta pesquisa mais consistente.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