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EXPLICAÇÃO DETALHADA DA APRESENTAÇÃO DE QUALIFICAÇÃO</w:t>
      </w:r>
    </w:p>
    <w:p>
      <w:pPr>
        <w:jc w:val="center"/>
      </w:pPr>
      <w:r>
        <w:rPr>
          <w:i/>
        </w:rPr>
        <w:t>Cada lâmina explicada, com seus conceitos, autores e o lugar da tese onde aprofundar</w:t>
        <w:br/>
      </w:r>
      <w:r>
        <w:t>A encenação da PNED em Pipa/RN · Qualificacao_PNED_Pipa.pptx (30 lâminas)</w:t>
      </w:r>
    </w:p>
    <w:p>
      <w:pPr>
        <w:pStyle w:val="Heading1"/>
      </w:pPr>
      <w:r>
        <w:t>Como ler este material</w:t>
      </w:r>
    </w:p>
    <w:p>
      <w:pPr>
        <w:pStyle w:val="ListBullet"/>
      </w:pPr>
      <w:r>
        <w:t>Cada lâmina tem seis partes: o que aparece nela; a explicação do que ela argumenta; os conceitos, um a um; os autores e as obras; onde o assunto está na tese; e perguntas para a arguição, com resposta curta.</w:t>
      </w:r>
    </w:p>
    <w:p>
      <w:pPr>
        <w:pStyle w:val="ListBullet"/>
      </w:pPr>
      <w:r>
        <w:t>As explicações, citações e páginas vêm do projeto e dos capítulos 1 a 6. Quando uma informação sobre os autores não vem da tese (nacionalidade, área, instituição, ano da edição original), ela aparece marcada como "informação geral".</w:t>
      </w:r>
    </w:p>
    <w:p>
      <w:pPr>
        <w:pStyle w:val="ListBullet"/>
      </w:pPr>
      <w:r>
        <w:t>Este material complementa o Guia de estudo, que traz o índice de conceitos em tabela.</w:t>
      </w:r>
    </w:p>
    <w:p>
      <w:pPr>
        <w:pStyle w:val="Heading2"/>
      </w:pPr>
      <w:r>
        <w:t>Lâmina 1 · Capa</w:t>
      </w:r>
    </w:p>
    <w:p>
      <w:r>
        <w:rPr>
          <w:b/>
          <w:color w:val="555555"/>
        </w:rPr>
        <w:t xml:space="preserve">Na lâmina: </w:t>
      </w:r>
      <w:r>
        <w:rPr>
          <w:i/>
          <w:color w:val="555555"/>
        </w:rPr>
        <w:t>Título da tese, subtítulo em destaque amarelo, a fotografia da entrada da Escola Municipal Domitila Castelo da Silva, o nome da pesquisadora, a orientadora, o programa e o ano.</w:t>
      </w:r>
    </w:p>
    <w:p>
      <w:pPr>
        <w:pStyle w:val="Heading3"/>
      </w:pPr>
      <w:r>
        <w:t>Explicação</w:t>
      </w:r>
    </w:p>
    <w:p>
      <w:pPr>
        <w:jc w:val="both"/>
      </w:pPr>
      <w:r>
        <w:t>O título condensa o argumento da tese em poucas palavras. "Encenação" anuncia o referencial teórico, a teoria da atuação de Ball, Maguire e Braun, e a escolha de tradução que a tese faz para o termo inglês enactment. "PNED" delimita a política estudada, e "Pipa/RN" indica que o lugar entra na própria análise, além de delimitar o campo.</w:t>
      </w:r>
    </w:p>
    <w:p>
      <w:pPr>
        <w:jc w:val="both"/>
      </w:pPr>
      <w:r>
        <w:t>O subtítulo nomeia as três dimensões que a tese articula. As culturas profissionais respondem pelo que filtra a leitura da política na escola. O território responde pelo lugar onde a política é posta em ato. As resistências, no plural, aparecem como uma das formas possíveis de atuação dos profissionais, mantida como hipótese a examinar nos dados.</w:t>
      </w:r>
    </w:p>
    <w:p>
      <w:pPr>
        <w:jc w:val="both"/>
      </w:pPr>
      <w:r>
        <w:t>A fotografia da fachada situa o caso desde a primeira imagem. A tese é um estudo de caso de uma escola concreta, com história, prédio, equipamentos e pessoas determinados, e a capa já mostra isso.</w:t>
      </w:r>
    </w:p>
    <w:p>
      <w:pPr>
        <w:pStyle w:val="Heading3"/>
      </w:pPr>
      <w:r>
        <w:t>Conceitos</w:t>
      </w:r>
    </w:p>
    <w:p>
      <w:pPr>
        <w:pStyle w:val="ListBullet"/>
        <w:jc w:val="both"/>
      </w:pPr>
      <w:r>
        <w:rPr>
          <w:b/>
        </w:rPr>
        <w:t xml:space="preserve">Encenação. </w:t>
      </w:r>
      <w:r>
        <w:t>É a palavra com que a tese nomeia o fenômeno investigado, o modo como a escola coloca a política em ação. A edição brasileira do livro de Ball, Maguire e Braun traduz enactment por "atuação"; a tese usa "encenação" para o fenômeno e mantém "atuação" quando se refere diretamente aos autores (cap. 3, seção 3.2). A palavra acentua o caráter produtivo do processo: a política toma corpo nas falas, nos registros, nos arranjos de tempo e espaço e nas práticas de quem a recebe.</w:t>
      </w:r>
    </w:p>
    <w:p>
      <w:pPr>
        <w:pStyle w:val="ListBullet"/>
        <w:jc w:val="both"/>
      </w:pPr>
      <w:r>
        <w:rPr>
          <w:b/>
        </w:rPr>
        <w:t xml:space="preserve">Resistências. </w:t>
      </w:r>
      <w:r>
        <w:t>O plural indica que a resistência pode assumir formas diferentes, como recusar, desviar, adiar, limitar, reordenar ou ressignificar uma orientação. A tese não a pressupõe: ela só será reconhecida se os dados a sustentarem (projeto, seção 11; cap. 3, seção 3.5).</w:t>
      </w:r>
    </w:p>
    <w:p>
      <w:pPr>
        <w:pStyle w:val="Heading3"/>
      </w:pPr>
      <w:r>
        <w:t>Autores e obras</w:t>
      </w:r>
    </w:p>
    <w:p>
      <w:pPr>
        <w:pStyle w:val="ListBullet"/>
        <w:jc w:val="both"/>
      </w:pPr>
      <w:r>
        <w:rPr>
          <w:b/>
        </w:rPr>
        <w:t xml:space="preserve">Stephen J. Ball, Meg Maguire e Annette Braun. </w:t>
      </w:r>
      <w:r>
        <w:t>Pesquisadores britânicos da sociologia das políticas educacionais (informação geral). A obra usada é Como as escolas fazem as políticas: atuação em escolas secundárias (Editora UEPG, 2016), tradução de Janete Bridon. Dela vem a noção de atuação, que sustenta o título.</w:t>
      </w:r>
    </w:p>
    <w:p>
      <w:r>
        <w:rPr>
          <w:b/>
        </w:rPr>
        <w:t xml:space="preserve">Onde está na tese: </w:t>
      </w:r>
      <w:r>
        <w:t>Título; cap. 1 (abertura); cap. 3, seção 3.2; projeto, seção 11.</w:t>
      </w:r>
    </w:p>
    <w:p>
      <w:pPr>
        <w:pStyle w:val="Heading3"/>
      </w:pPr>
      <w:r>
        <w:t>Para a arguição</w:t>
      </w:r>
    </w:p>
    <w:p>
      <w:pPr>
        <w:spacing w:after="20"/>
      </w:pPr>
      <w:r>
        <w:rPr>
          <w:b/>
        </w:rPr>
        <w:t>Por que "resistências" no título, se a resistência não é pressuposta?</w:t>
      </w:r>
    </w:p>
    <w:p>
      <w:pPr>
        <w:jc w:val="both"/>
      </w:pPr>
      <w:r>
        <w:t>Porque o título expressa uma preocupação teórica: compreender o que acontece quando os profissionais encontram exigências que precisam traduzir dentro de condições determinadas. A resistência é uma das formas possíveis dessa tradução e será reconhecida apenas se os dados a sustentarem.</w:t>
      </w:r>
    </w:p>
    <w:p>
      <w:pPr>
        <w:pStyle w:val="Heading2"/>
      </w:pPr>
      <w:r>
        <w:t>Lâmina 2 · Roteiro</w:t>
      </w:r>
    </w:p>
    <w:p>
      <w:r>
        <w:rPr>
          <w:b/>
          <w:color w:val="555555"/>
        </w:rPr>
        <w:t xml:space="preserve">Na lâmina: </w:t>
      </w:r>
      <w:r>
        <w:rPr>
          <w:i/>
          <w:color w:val="555555"/>
        </w:rPr>
        <w:t>Seis cartões com tacha, um por bloco da apresentação.</w:t>
      </w:r>
    </w:p>
    <w:p>
      <w:pPr>
        <w:pStyle w:val="Heading3"/>
      </w:pPr>
      <w:r>
        <w:t>Explicação</w:t>
      </w:r>
    </w:p>
    <w:p>
      <w:pPr>
        <w:jc w:val="both"/>
      </w:pPr>
      <w:r>
        <w:t>O roteiro segue a ordem dos capítulos da tese: objeto, questão e objetivos (cap. 1); revisão sistemática (cap. 2); fundamentos teóricos (cap. 3); metodologia (cap. 4); agenda global e PNED (cap. 5); território, escola e tese (cap. 6 e retorno à tese de partida). O capítulo 7, de análise das narrativas, e o capítulo 8, de considerações, dependem do campo e por isso não aparecem como blocos.</w:t>
      </w:r>
    </w:p>
    <w:p>
      <w:r>
        <w:rPr>
          <w:b/>
        </w:rPr>
        <w:t xml:space="preserve">Onde está na tese: </w:t>
      </w:r>
      <w:r>
        <w:t>Cap. 1, seção 1.6 (arquitetura da tese).</w:t>
      </w:r>
    </w:p>
    <w:p>
      <w:pPr>
        <w:pStyle w:val="Heading2"/>
      </w:pPr>
      <w:r>
        <w:t>Lâmina 3 · Objeto</w:t>
      </w:r>
    </w:p>
    <w:p>
      <w:r>
        <w:rPr>
          <w:b/>
          <w:color w:val="555555"/>
        </w:rPr>
        <w:t xml:space="preserve">Na lâmina: </w:t>
      </w:r>
      <w:r>
        <w:rPr>
          <w:i/>
          <w:color w:val="555555"/>
        </w:rPr>
        <w:t>Cartão amarelo com a delimitação do objeto, a definição de profissionais da educação e a citação de Ball, Maguire e Braun sobre as atuações.</w:t>
      </w:r>
    </w:p>
    <w:p>
      <w:pPr>
        <w:pStyle w:val="Heading3"/>
      </w:pPr>
      <w:r>
        <w:t>Explicação</w:t>
      </w:r>
    </w:p>
    <w:p>
      <w:pPr>
        <w:jc w:val="both"/>
      </w:pPr>
      <w:r>
        <w:t>O objeto tem três recortes. O primeiro é a política: a PNED, instituída pela Lei nº 14.533/2023, no eixo que chega às escolas, a Educação Digital Escolar. O segundo são os sujeitos: os profissionais da educação, em todas as posições que participam da construção da política na escola. O terceiro é o lugar: os anos iniciais, do 1º ao 5º ano, de uma escola da rede municipal de Tibau do Sul, no distrito de Pipa.</w:t>
      </w:r>
    </w:p>
    <w:p>
      <w:pPr>
        <w:jc w:val="both"/>
      </w:pPr>
      <w:r>
        <w:t>Os três verbos da definição, interpretar, traduzir e recontextualizar, já expressam a posição teórica. A pergunta da tese é o que a escola faz com a lei, mais do que se a cumpre, e a política é tratada como algo que se refaz ao chegar a um lugar.</w:t>
      </w:r>
    </w:p>
    <w:p>
      <w:pPr>
        <w:jc w:val="both"/>
      </w:pPr>
      <w:r>
        <w:t>A noção ampla de profissionais da educação decorre da ideia de que a política se constrói em vários lugares da escola, no planejamento, na organização do tempo e dos espaços, nos registros e nas conversas entre colegas, além da sala de aula. A citação da lâmina resume o que a teoria encontrou nas escolas: atuações coletivas, criativas e limitadas. Para Pipa, a palavra "limitadas" pesa especialmente, porque os limites de meios fazem parte do problema.</w:t>
      </w:r>
    </w:p>
    <w:p>
      <w:pPr>
        <w:pStyle w:val="Heading3"/>
      </w:pPr>
      <w:r>
        <w:t>Conceitos</w:t>
      </w:r>
    </w:p>
    <w:p>
      <w:pPr>
        <w:pStyle w:val="ListBullet"/>
        <w:jc w:val="both"/>
      </w:pPr>
      <w:r>
        <w:rPr>
          <w:b/>
        </w:rPr>
        <w:t xml:space="preserve">PNED. </w:t>
      </w:r>
      <w:r>
        <w:t>Política Nacional de Educação Digital, Lei nº 14.533, de 11 de janeiro de 2023. Organiza-se em quatro eixos: Inclusão Digital, Educação Digital Escolar, Capacitação e Especialização Digital e Pesquisa e Desenvolvimento em Tecnologias da Informação e Comunicação. Define-se como instância de articulação de outras políticas (art. 1º, § 3º).</w:t>
      </w:r>
    </w:p>
    <w:p>
      <w:pPr>
        <w:pStyle w:val="ListBullet"/>
        <w:jc w:val="both"/>
      </w:pPr>
      <w:r>
        <w:rPr>
          <w:b/>
        </w:rPr>
        <w:t xml:space="preserve">Eixo Educação Digital Escolar. </w:t>
      </w:r>
      <w:r>
        <w:t>Eixo que chega às escolas. Reúne pensamento computacional, mundo digital, cultura digital, direitos digitais e tecnologia assistiva (cap. 1). O inciso III do art. 3º associa a cultura digital à "participação consciente e democrática por meio das tecnologias digitais", e o inciso IV associa os direitos digitais à "proteção dos dados da população mais vulnerável, em especial crianças e adolescentes".</w:t>
      </w:r>
    </w:p>
    <w:p>
      <w:pPr>
        <w:pStyle w:val="ListBullet"/>
        <w:jc w:val="both"/>
      </w:pPr>
      <w:r>
        <w:rPr>
          <w:b/>
        </w:rPr>
        <w:t xml:space="preserve">Profissionais da educação. </w:t>
      </w:r>
      <w:r>
        <w:t>Todos os que participam da construção da política na escola: professoras e professores do 1º ao 5º ano, coordenação pedagógica, direção e demais profissionais ligados aos processos pedagógicos ou à educação digital.</w:t>
      </w:r>
    </w:p>
    <w:p>
      <w:pPr>
        <w:pStyle w:val="ListBullet"/>
        <w:jc w:val="both"/>
      </w:pPr>
      <w:r>
        <w:rPr>
          <w:b/>
        </w:rPr>
        <w:t xml:space="preserve">Atuações coletivas, criativas e limitadas. </w:t>
      </w:r>
      <w:r>
        <w:t>Formulação de Ball, Maguire e Braun (2016, p. 103). A frase completa diz que as atuações são "feitas de malabarismo instável entre as prioridades inconciliáveis, cargas de trabalho impossíveis, movimentos satisficing e entusiasmos pessoais". Satisficing, termo mantido em inglês na tradução, designa soluções suficientes, aceitáveis nas condições dadas, em lugar da solução ideal (explicação do termo, não da tese).</w:t>
      </w:r>
    </w:p>
    <w:p>
      <w:pPr>
        <w:pStyle w:val="Heading3"/>
      </w:pPr>
      <w:r>
        <w:t>Autores e obras</w:t>
      </w:r>
    </w:p>
    <w:p>
      <w:pPr>
        <w:pStyle w:val="ListBullet"/>
        <w:jc w:val="both"/>
      </w:pPr>
      <w:r>
        <w:rPr>
          <w:b/>
        </w:rPr>
        <w:t xml:space="preserve">Ball, Maguire e Braun (2016). </w:t>
      </w:r>
      <w:r>
        <w:t>O estudo foi feito em escolas secundárias inglesas. A tese usa dele a citação da p. 103 e a ideia de que os atores escolares ocupam posições diferentes diante da política (p. 74-75).</w:t>
      </w:r>
    </w:p>
    <w:p>
      <w:r>
        <w:rPr>
          <w:b/>
        </w:rPr>
        <w:t xml:space="preserve">Onde está na tese: </w:t>
      </w:r>
      <w:r>
        <w:t>Cap. 1 (abertura e seção 1.3); cap. 3, seção 3.2; cap. 5, seção 5.5 (o eixo na lei).</w:t>
      </w:r>
    </w:p>
    <w:p>
      <w:pPr>
        <w:pStyle w:val="Heading3"/>
      </w:pPr>
      <w:r>
        <w:t>Para a arguição</w:t>
      </w:r>
    </w:p>
    <w:p>
      <w:pPr>
        <w:spacing w:after="20"/>
      </w:pPr>
      <w:r>
        <w:rPr>
          <w:b/>
        </w:rPr>
        <w:t>Por que ouvir todos os profissionais, além das professoras regentes?</w:t>
      </w:r>
    </w:p>
    <w:p>
      <w:pPr>
        <w:jc w:val="both"/>
      </w:pPr>
      <w:r>
        <w:t>Porque a política se constrói em diferentes lugares da escola, e os atores são "posicionados de forma diferente e assumem posições diversas em relação à política" (BALL; MAGUIRE; BRAUN, 2016, p. 74-75). A regência, a coordenação e a direção recebem a política com margens de decisão, recursos e responsabilidades próprios.</w:t>
      </w:r>
    </w:p>
    <w:p>
      <w:pPr>
        <w:spacing w:after="20"/>
      </w:pPr>
      <w:r>
        <w:rPr>
          <w:b/>
        </w:rPr>
        <w:t>Por que os anos iniciais?</w:t>
      </w:r>
    </w:p>
    <w:p>
      <w:pPr>
        <w:jc w:val="both"/>
      </w:pPr>
      <w:r>
        <w:t>A revisão sistemática mostrou que os anos iniciais costumam aparecer em bloco, misturados a outras etapas, e que o ciclo de alfabetização quase não é estudado. Além disso, para crianças de seis a dez anos, a escola pode ser o primeiro espaço público em que o digital é discutido com alguém responsável pelo ensino (cap. 1, seção 1.1).</w:t>
      </w:r>
    </w:p>
    <w:p>
      <w:pPr>
        <w:pStyle w:val="Heading2"/>
      </w:pPr>
      <w:r>
        <w:t>Lâmina 4 · Questão de pesquisa</w:t>
      </w:r>
    </w:p>
    <w:p>
      <w:r>
        <w:rPr>
          <w:b/>
          <w:color w:val="555555"/>
        </w:rPr>
        <w:t xml:space="preserve">Na lâmina: </w:t>
      </w:r>
      <w:r>
        <w:rPr>
          <w:i/>
          <w:color w:val="555555"/>
        </w:rPr>
        <w:t>A pergunta completa e, em negrito, a frase "A resistência é uma possibilidade a examinar nos dados, sem ser pressuposta".</w:t>
      </w:r>
    </w:p>
    <w:p>
      <w:pPr>
        <w:pStyle w:val="Heading3"/>
      </w:pPr>
      <w:r>
        <w:t>Explicação</w:t>
      </w:r>
    </w:p>
    <w:p>
      <w:pPr>
        <w:jc w:val="both"/>
      </w:pPr>
      <w:r>
        <w:t>A pergunta tem duas partes. A primeira quer saber como os profissionais encenam e recontextualizam a PNED. A segunda quer saber como três conjuntos de condições atravessam esse processo: as culturas profissionais, as condições materiais e institucionais da escola e as especificidades socioespaciais do território. O final, "produzindo diferentes formas de atuação, entre as quais podem emergir", usa o verbo "podem" de propósito, para manter o resultado aberto.</w:t>
      </w:r>
    </w:p>
    <w:p>
      <w:pPr>
        <w:jc w:val="both"/>
      </w:pPr>
      <w:r>
        <w:t>A abertura tem base na própria teoria. Para Ball, Maguire e Braun (2016, p. 14), as políticas "raramente ditam ou determinam a prática, mas algumas mais do que outras estreitam a gama de respostas criativas". A pergunta procura justamente essa gama de respostas e as condições que tornam algumas possíveis e outras pouco prováveis.</w:t>
      </w:r>
    </w:p>
    <w:p>
      <w:pPr>
        <w:pStyle w:val="Heading3"/>
      </w:pPr>
      <w:r>
        <w:t>Conceitos</w:t>
      </w:r>
    </w:p>
    <w:p>
      <w:pPr>
        <w:pStyle w:val="ListBullet"/>
        <w:jc w:val="both"/>
      </w:pPr>
      <w:r>
        <w:rPr>
          <w:b/>
        </w:rPr>
        <w:t xml:space="preserve">Recontextualização. </w:t>
      </w:r>
      <w:r>
        <w:t>É a categoria analítica integradora da tese (cap. 4, seção 4.3). Reúne a compreensão da política como processo interpretativo, vinda da ACP, e a atenção da teoria da atuação às dimensões do contexto e às respostas dos profissionais. Em termos diretos, é "o processo pelo qual uma política ganha sentidos particulares ao encontrar pessoas, instituições, recursos, limites e possibilidades de um lugar determinado".</w:t>
      </w:r>
    </w:p>
    <w:p>
      <w:pPr>
        <w:pStyle w:val="ListBullet"/>
        <w:jc w:val="both"/>
      </w:pPr>
      <w:r>
        <w:rPr>
          <w:b/>
        </w:rPr>
        <w:t xml:space="preserve">Formas de atuação. </w:t>
      </w:r>
      <w:r>
        <w:t>As maneiras de agir diante da política: adesão, acomodação, adaptação, omissão seletiva, negociação, ressignificação e resistência, cada uma com critério próprio de reconhecimento (ver lâmina 14).</w:t>
      </w:r>
    </w:p>
    <w:p>
      <w:pPr>
        <w:pStyle w:val="ListBullet"/>
        <w:jc w:val="both"/>
      </w:pPr>
      <w:r>
        <w:rPr>
          <w:b/>
        </w:rPr>
        <w:t xml:space="preserve">Abertura do resultado. </w:t>
      </w:r>
      <w:r>
        <w:t>A questão não supõe a resposta. Se as narrativas mostrarem sobretudo adesão ou acomodação, esse será o achado (cap. 4, seção 4.3.1).</w:t>
      </w:r>
    </w:p>
    <w:p>
      <w:pPr>
        <w:pStyle w:val="Heading3"/>
      </w:pPr>
      <w:r>
        <w:t>Autores e obras</w:t>
      </w:r>
    </w:p>
    <w:p>
      <w:pPr>
        <w:pStyle w:val="ListBullet"/>
        <w:jc w:val="both"/>
      </w:pPr>
      <w:r>
        <w:rPr>
          <w:b/>
        </w:rPr>
        <w:t xml:space="preserve">Bowe, Ball e Gold (1992). </w:t>
      </w:r>
      <w:r>
        <w:t>Base da ideia de que a política é recriada no contexto da prática.</w:t>
      </w:r>
    </w:p>
    <w:p>
      <w:pPr>
        <w:pStyle w:val="ListBullet"/>
        <w:jc w:val="both"/>
      </w:pPr>
      <w:r>
        <w:rPr>
          <w:b/>
        </w:rPr>
        <w:t xml:space="preserve">Ball, Maguire e Braun (2016, p. 14). </w:t>
      </w:r>
      <w:r>
        <w:t>Base da ideia de que as políticas estreitam, sem determinar, as respostas.</w:t>
      </w:r>
    </w:p>
    <w:p>
      <w:r>
        <w:rPr>
          <w:b/>
        </w:rPr>
        <w:t xml:space="preserve">Onde está na tese: </w:t>
      </w:r>
      <w:r>
        <w:t>Cap. 1, seção 1.3; cap. 3, seções 3.1 e 3.5; cap. 4, seções 4.3 e 4.3.1.</w:t>
      </w:r>
    </w:p>
    <w:p>
      <w:pPr>
        <w:pStyle w:val="Heading3"/>
      </w:pPr>
      <w:r>
        <w:t>Para a arguição</w:t>
      </w:r>
    </w:p>
    <w:p>
      <w:pPr>
        <w:spacing w:after="20"/>
      </w:pPr>
      <w:r>
        <w:rPr>
          <w:b/>
        </w:rPr>
        <w:t>O que garante que a pesquisa não encontre a resistência que procura?</w:t>
      </w:r>
    </w:p>
    <w:p>
      <w:pPr>
        <w:jc w:val="both"/>
      </w:pPr>
      <w:r>
        <w:t>Três cuidados do cap. 4: os critérios de leitura das formas de atuação foram registrados antes da primeira entrevista e só mudam com novo registro datado e justificado; termos como resistência, fabricação ou omissão seletiva não são ditos aos participantes; e uma forma de atuação só conta como achado quando aparece de modo recorrente e sem indução pela pergunta.</w:t>
      </w:r>
    </w:p>
    <w:p>
      <w:pPr>
        <w:pStyle w:val="Heading2"/>
      </w:pPr>
      <w:r>
        <w:t>Lâmina 5 · Objetivos</w:t>
      </w:r>
    </w:p>
    <w:p>
      <w:r>
        <w:rPr>
          <w:b/>
          <w:color w:val="555555"/>
        </w:rPr>
        <w:t xml:space="preserve">Na lâmina: </w:t>
      </w:r>
      <w:r>
        <w:rPr>
          <w:i/>
          <w:color w:val="555555"/>
        </w:rPr>
        <w:t>O objetivo geral no alto e quatro cartões com rótulo (Interpretação; Condições e território; Formas de atuação; Crianças), cada um com o objetivo específico no texto original, começando pelo verbo no infinitivo.</w:t>
      </w:r>
    </w:p>
    <w:p>
      <w:pPr>
        <w:pStyle w:val="Heading3"/>
      </w:pPr>
      <w:r>
        <w:t>Explicação</w:t>
      </w:r>
    </w:p>
    <w:p>
      <w:pPr>
        <w:jc w:val="both"/>
      </w:pPr>
      <w:r>
        <w:t>O objetivo geral repete a estrutura da pergunta: analisar como os profissionais encenam e recontextualizam a PNED, considerando as relações entre a política, as culturas profissionais, as condições da escola e o território.</w:t>
      </w:r>
    </w:p>
    <w:p>
      <w:pPr>
        <w:jc w:val="both"/>
      </w:pPr>
      <w:r>
        <w:t>Os quatro específicos acompanham o caminho que a política percorre até as crianças. O primeiro olha para os sujeitos e para a leitura que fazem da política. O segundo leva essa leitura às condições em que acontece, dentro da escola e no território. O terceiro reúne os dois anteriores para perguntar o que os profissionais efetivamente fazem. O quarto chega às crianças, a quem a política se dirige e em nome de quem se justifica.</w:t>
      </w:r>
    </w:p>
    <w:p>
      <w:pPr>
        <w:jc w:val="both"/>
      </w:pPr>
      <w:r>
        <w:t>Cada objetivo tem uma âncora teórica e fontes próprias. Segundo a síntese do cap. 3 (seção 3.7), a ACP orienta os objetivos (a) e (c), pelos documentos e pelo Eixo 2 das entrevistas; a teoria da atuação sustenta o objetivo (b), com o registro iconográfico, os documentos, os Blocos 3 e 4 do questionário e o Eixo 3; as culturas profissionais entram no objetivo (a), pelos Blocos 1 e 2 e pelo Eixo 1; habitar o digital atravessa os objetivos (b) e (d), pelo registro iconográfico, pelo Bloco 5 e pelo Eixo 6. Os quatro objetivos serão respondidos no cap. 7.</w:t>
      </w:r>
    </w:p>
    <w:p>
      <w:pPr>
        <w:pStyle w:val="Heading3"/>
      </w:pPr>
      <w:r>
        <w:t>Conceitos</w:t>
      </w:r>
    </w:p>
    <w:p>
      <w:pPr>
        <w:pStyle w:val="ListBullet"/>
        <w:jc w:val="both"/>
      </w:pPr>
      <w:r>
        <w:rPr>
          <w:b/>
        </w:rPr>
        <w:t xml:space="preserve">Interpretação (a). </w:t>
      </w:r>
      <w:r>
        <w:t>Compreender como os profissionais leem os textos da PNED e os discursos sobre educação digital a partir de experiências, crenças, valores e formas de organização do trabalho. Dialoga com as culturas profissionais de Hargreaves.</w:t>
      </w:r>
    </w:p>
    <w:p>
      <w:pPr>
        <w:pStyle w:val="ListBullet"/>
        <w:jc w:val="both"/>
      </w:pPr>
      <w:r>
        <w:rPr>
          <w:b/>
        </w:rPr>
        <w:t xml:space="preserve">Condições e território (b). </w:t>
      </w:r>
      <w:r>
        <w:t>Analisar como as condições materiais e institucionais da escola, articuladas ao território, atravessam a tradução da política em ações, escolhas e práticas. Dialoga com as dimensões situada e material da teoria da atuação, que incluem "a localidade, as histórias escolares e as matrículas" (BMB, 2016, p. 38).</w:t>
      </w:r>
    </w:p>
    <w:p>
      <w:pPr>
        <w:pStyle w:val="ListBullet"/>
        <w:jc w:val="both"/>
      </w:pPr>
      <w:r>
        <w:rPr>
          <w:b/>
        </w:rPr>
        <w:t xml:space="preserve">Formas de atuação (c). </w:t>
      </w:r>
      <w:r>
        <w:t>Identificar as maneiras de agir diante da política, da adesão à resistência, sem estabelecer antes qual deve prevalecer.</w:t>
      </w:r>
    </w:p>
    <w:p>
      <w:pPr>
        <w:pStyle w:val="ListBullet"/>
        <w:jc w:val="both"/>
      </w:pPr>
      <w:r>
        <w:rPr>
          <w:b/>
        </w:rPr>
        <w:t xml:space="preserve">Crianças (d). </w:t>
      </w:r>
      <w:r>
        <w:t>Discutir as implicações para a educação digital das crianças em três dimensões: provisão (condições de acesso significativo, como equipamentos, conexão, tempo e profissionais formados), proteção (segurança, privacidade e enfrentamento de riscos) e participação (acessar informação, criar, comunicar-se e tomar parte da cultura digital como sujeitos).</w:t>
      </w:r>
    </w:p>
    <w:p>
      <w:pPr>
        <w:pStyle w:val="Heading3"/>
      </w:pPr>
      <w:r>
        <w:t>Autores e obras</w:t>
      </w:r>
    </w:p>
    <w:p>
      <w:pPr>
        <w:pStyle w:val="ListBullet"/>
        <w:jc w:val="both"/>
      </w:pPr>
      <w:r>
        <w:rPr>
          <w:b/>
        </w:rPr>
        <w:t xml:space="preserve">Andy Hargreaves (2005). </w:t>
      </w:r>
      <w:r>
        <w:t>Base do objetivo (a), pelas culturas profissionais.</w:t>
      </w:r>
    </w:p>
    <w:p>
      <w:pPr>
        <w:pStyle w:val="ListBullet"/>
        <w:jc w:val="both"/>
      </w:pPr>
      <w:r>
        <w:rPr>
          <w:b/>
        </w:rPr>
        <w:t xml:space="preserve">Ball, Maguire e Braun (2016, p. 38). </w:t>
      </w:r>
      <w:r>
        <w:t>Base do objetivo (b), pelas dimensões do contexto.</w:t>
      </w:r>
    </w:p>
    <w:p>
      <w:pPr>
        <w:pStyle w:val="ListBullet"/>
        <w:jc w:val="both"/>
      </w:pPr>
      <w:r>
        <w:rPr>
          <w:b/>
        </w:rPr>
        <w:t xml:space="preserve">ONU (2021), Comentário Geral nº 25. </w:t>
      </w:r>
      <w:r>
        <w:t>Documento do Comitê dos Direitos da Criança sobre os direitos das crianças no ambiente digital. Base das três dimensões do objetivo (d).</w:t>
      </w:r>
    </w:p>
    <w:p>
      <w:r>
        <w:rPr>
          <w:b/>
        </w:rPr>
        <w:t xml:space="preserve">Onde está na tese: </w:t>
      </w:r>
      <w:r>
        <w:t>Cap. 1, seção 1.3; cap. 3, seções 3.6 e 3.7; cap. 4, Quadro 9 (objetivos, contextos, dimensões, fontes e capítulos).</w:t>
      </w:r>
    </w:p>
    <w:p>
      <w:pPr>
        <w:pStyle w:val="Heading3"/>
      </w:pPr>
      <w:r>
        <w:t>Para a arguição</w:t>
      </w:r>
    </w:p>
    <w:p>
      <w:pPr>
        <w:spacing w:after="20"/>
      </w:pPr>
      <w:r>
        <w:rPr>
          <w:b/>
        </w:rPr>
        <w:t>Se as crianças não são ouvidas, como responder ao objetivo (d)?</w:t>
      </w:r>
    </w:p>
    <w:p>
      <w:pPr>
        <w:jc w:val="both"/>
      </w:pPr>
      <w:r>
        <w:t>O que se disser sobre as crianças virá das condições documentadas e das compreensões dos profissionais, sem que se pressuponham efeitos sobre elas. A tese declara esse limite: os efeitos sobre o desenvolvimento das crianças exigiriam outro desenho e outra duração (cap. 2, seção 2.5.4).</w:t>
      </w:r>
    </w:p>
    <w:p>
      <w:pPr>
        <w:pStyle w:val="Heading2"/>
      </w:pPr>
      <w:r>
        <w:t>Lâmina 6 · Por que agora?</w:t>
      </w:r>
    </w:p>
    <w:p>
      <w:r>
        <w:rPr>
          <w:b/>
          <w:color w:val="555555"/>
        </w:rPr>
        <w:t xml:space="preserve">Na lâmina: </w:t>
      </w:r>
      <w:r>
        <w:rPr>
          <w:i/>
          <w:color w:val="555555"/>
        </w:rPr>
        <w:t>Seis cartões em linha do tempo (de janeiro de 2023 a 2026) e a citação de Bowe, Ball e Gold.</w:t>
      </w:r>
    </w:p>
    <w:p>
      <w:pPr>
        <w:pStyle w:val="Heading3"/>
      </w:pPr>
      <w:r>
        <w:t>Explicação</w:t>
      </w:r>
    </w:p>
    <w:p>
      <w:pPr>
        <w:jc w:val="both"/>
      </w:pPr>
      <w:r>
        <w:t>A lâmina mostra que a pesquisa acontece no momento em que várias normas chegam juntas às escolas. Em janeiro de 2023, a Lei nº 14.533 institui a PNED. Em 14 de dezembro de 2023, o Congresso derruba o veto ao § 11 do art. 26 da LDB, e a educação digital passa a ser componente curricular do ensino fundamental, o que alcança os anos iniciais. Em março de 2025, a Resolução CNE/CEB nº 2 institui as Diretrizes Operacionais Nacionais sobre o uso de dispositivos digitais e a integração curricular da educação digital e midiática, com currículos adequados ao longo de 2025 e implementação a partir de 2026 (art. 36). Em 17 de março de 2026 entra em vigor o Estatuto Digital da Criança e do Adolescente, Lei nº 15.211/2025. Em 14 de abril de 2026, a Lei nº 15.388 aprova o novo Plano Nacional de Educação, com duração de dez anos.</w:t>
      </w:r>
    </w:p>
    <w:p>
      <w:pPr>
        <w:jc w:val="both"/>
      </w:pPr>
      <w:r>
        <w:t>A consequência metodológica é a dimensão empírico-temporal do ineditismo: a pesquisa documenta um momento inicial da tradução da política, enquanto ele ainda está em curso. Registrar a presença ou a ausência das orientações diria pouco; interessa o que a escola faz com elas, e por isso a lâmina fecha com a citação sobre a recriação da política.</w:t>
      </w:r>
    </w:p>
    <w:p>
      <w:pPr>
        <w:pStyle w:val="Heading3"/>
      </w:pPr>
      <w:r>
        <w:t>Conceitos</w:t>
      </w:r>
    </w:p>
    <w:p>
      <w:pPr>
        <w:pStyle w:val="ListBullet"/>
        <w:jc w:val="both"/>
      </w:pPr>
      <w:r>
        <w:rPr>
          <w:b/>
        </w:rPr>
        <w:t xml:space="preserve">Contexto da prática. </w:t>
      </w:r>
      <w:r>
        <w:t>Arena em que a política "não é simplesmente recebida e implementada [...], ao contrário, ela está sujeita à interpretação e então é ‘recriada’" (BOWE; BALL; GOLD, 1992, p. 22, tradução nossa).</w:t>
      </w:r>
    </w:p>
    <w:p>
      <w:pPr>
        <w:pStyle w:val="ListBullet"/>
        <w:jc w:val="both"/>
      </w:pPr>
      <w:r>
        <w:rPr>
          <w:b/>
        </w:rPr>
        <w:t xml:space="preserve">Trajetória da política. </w:t>
      </w:r>
      <w:r>
        <w:t>Ball (2011, p. 38) diz que a abordagem da trajetória "capta as formas pelas quais as políticas evoluem, se modificam e decaem ao longo do tempo e do espaço, assim como as suas incoerências". Acompanhar a PNED desde a chegada permite registrar esse movimento na escala de uma escola.</w:t>
      </w:r>
    </w:p>
    <w:p>
      <w:pPr>
        <w:pStyle w:val="Heading3"/>
      </w:pPr>
      <w:r>
        <w:t>Autores e obras</w:t>
      </w:r>
    </w:p>
    <w:p>
      <w:pPr>
        <w:pStyle w:val="ListBullet"/>
        <w:jc w:val="both"/>
      </w:pPr>
      <w:r>
        <w:rPr>
          <w:b/>
        </w:rPr>
        <w:t xml:space="preserve">Bowe, Ball e Gold (1992). </w:t>
      </w:r>
      <w:r>
        <w:t>Reforming education and changing schools (Routledge). Obra que formula a Abordagem do Ciclo de Políticas. A tese usa as p. 21 e 22.</w:t>
      </w:r>
    </w:p>
    <w:p>
      <w:pPr>
        <w:pStyle w:val="ListBullet"/>
        <w:jc w:val="both"/>
      </w:pPr>
      <w:r>
        <w:rPr>
          <w:b/>
        </w:rPr>
        <w:t xml:space="preserve">Ball (2011). </w:t>
      </w:r>
      <w:r>
        <w:t>Capítulo em Políticas educacionais: questões e dilemas, organizado por Ball e Mainardes (Cortez).</w:t>
      </w:r>
    </w:p>
    <w:p>
      <w:r>
        <w:rPr>
          <w:b/>
        </w:rPr>
        <w:t xml:space="preserve">Onde está na tese: </w:t>
      </w:r>
      <w:r>
        <w:t>Cap. 5, seções 5.4, 5.5 e 5.6; cap. 2, seção 2.5.2; cap. 1, seção 1.1.</w:t>
      </w:r>
    </w:p>
    <w:p>
      <w:pPr>
        <w:pStyle w:val="Heading3"/>
      </w:pPr>
      <w:r>
        <w:t>Para a arguição</w:t>
      </w:r>
    </w:p>
    <w:p>
      <w:pPr>
        <w:spacing w:after="20"/>
      </w:pPr>
      <w:r>
        <w:rPr>
          <w:b/>
        </w:rPr>
        <w:t>Por que a falta de estudos sobre a PNED não é um defeito da revisão?</w:t>
      </w:r>
    </w:p>
    <w:p>
      <w:pPr>
        <w:jc w:val="both"/>
      </w:pPr>
      <w:r>
        <w:t>Porque a lacuna acompanha o calendário da política. A lei é de 2023, o componente curricular entrou na LDB em dezembro de 2023 e a implementação obrigatória começa em 2026; com as buscas encerradas em setembro de 2026, era esperado não haver exames empíricos dessa atuação (cap. 2, seção 2.5.2).</w:t>
      </w:r>
    </w:p>
    <w:p>
      <w:pPr>
        <w:pStyle w:val="Heading2"/>
      </w:pPr>
      <w:r>
        <w:t>Lâmina 7 · Relevâncias da pesquisa</w:t>
      </w:r>
    </w:p>
    <w:p>
      <w:r>
        <w:rPr>
          <w:b/>
          <w:color w:val="555555"/>
        </w:rPr>
        <w:t xml:space="preserve">Na lâmina: </w:t>
      </w:r>
      <w:r>
        <w:rPr>
          <w:i/>
          <w:color w:val="555555"/>
        </w:rPr>
        <w:t>Cartão com cinco relevâncias: para as crianças, para os profissionais, para o território, para a ciência e para a rede.</w:t>
      </w:r>
    </w:p>
    <w:p>
      <w:pPr>
        <w:pStyle w:val="Heading3"/>
      </w:pPr>
      <w:r>
        <w:t>Explicação</w:t>
      </w:r>
    </w:p>
    <w:p>
      <w:pPr>
        <w:jc w:val="both"/>
      </w:pPr>
      <w:r>
        <w:t>A justificativa da Introdução começa pelo que o eixo promete às crianças. A PNED associa a cultura digital à participação consciente e democrática e os direitos digitais à proteção dos dados de crianças e adolescentes (art. 3º, III e IV). Nos anos iniciais, a escola é, para muitas crianças, o primeiro espaço público onde o uso das tecnologias pode ser discutido com alguém responsável pelo ensino. Quando o eixo não chega, ou chega por meios improvisados, perde-se parte da formação para a cidadania e da proteção que a lei reconhece como direito.</w:t>
      </w:r>
    </w:p>
    <w:p>
      <w:pPr>
        <w:jc w:val="both"/>
      </w:pPr>
      <w:r>
        <w:t>A segunda relevância está em quem faz a política acontecer. A tese olha a política a partir dos profissionais e lê a encenação a partir da posição de cada um, o que evita cobrar de cada profissional o que só o desenho da política poderia garantir. A terceira está no território: Pipa reúne, no mesmo distrito, pousadas e passeios vendidos pela internet e salas de aula com alfabeto móvel feito à mão e nenhuma tela. A quarta é científica, com contribuições a três campos: políticas educacionais, educação digital e direitos das crianças no ambiente digital. A quinta é institucional: os resultados serão devolvidos à escola e à Secretaria Municipal de Educação.</w:t>
      </w:r>
    </w:p>
    <w:p>
      <w:pPr>
        <w:pStyle w:val="Heading3"/>
      </w:pPr>
      <w:r>
        <w:t>Conceitos</w:t>
      </w:r>
    </w:p>
    <w:p>
      <w:pPr>
        <w:pStyle w:val="ListBullet"/>
        <w:jc w:val="both"/>
      </w:pPr>
      <w:r>
        <w:rPr>
          <w:b/>
        </w:rPr>
        <w:t xml:space="preserve">Uso econômico e uso social dos recursos. </w:t>
      </w:r>
      <w:r>
        <w:t>Santos (1999, p. 20) descreve o território usado como "campo de forças", lugar de contradições "entre o Estado e o mercado, entre o uso econômico e o uso social dos recursos". Em Pipa, essa contradição tem expressão concreta (cap. 1, seção 1.1).</w:t>
      </w:r>
    </w:p>
    <w:p>
      <w:pPr>
        <w:pStyle w:val="ListBullet"/>
        <w:jc w:val="both"/>
      </w:pPr>
      <w:r>
        <w:rPr>
          <w:b/>
        </w:rPr>
        <w:t xml:space="preserve">Fazedores de política. </w:t>
      </w:r>
      <w:r>
        <w:t>Com as culturas profissionais e a performatividade, a tese trata os profissionais como capazes de atribuir sentido ao que a lei propõe e de responder ao que encontram (cap. 1, seção 1.1).</w:t>
      </w:r>
    </w:p>
    <w:p>
      <w:pPr>
        <w:pStyle w:val="Heading3"/>
      </w:pPr>
      <w:r>
        <w:t>Autores e obras</w:t>
      </w:r>
    </w:p>
    <w:p>
      <w:pPr>
        <w:pStyle w:val="ListBullet"/>
        <w:jc w:val="both"/>
      </w:pPr>
      <w:r>
        <w:rPr>
          <w:b/>
        </w:rPr>
        <w:t xml:space="preserve">ONU (2021). </w:t>
      </w:r>
      <w:r>
        <w:t>Orienta os Estados a garantir às crianças acesso equitativo a recursos digitais, à educação e à participação, com proteção, privacidade e segurança.</w:t>
      </w:r>
    </w:p>
    <w:p>
      <w:pPr>
        <w:pStyle w:val="ListBullet"/>
        <w:jc w:val="both"/>
      </w:pPr>
      <w:r>
        <w:rPr>
          <w:b/>
        </w:rPr>
        <w:t xml:space="preserve">Milton Santos (1999). </w:t>
      </w:r>
      <w:r>
        <w:t>Geógrafo brasileiro (informação geral). Artigo "O território e o saber local", Cadernos IPPUR.</w:t>
      </w:r>
    </w:p>
    <w:p>
      <w:r>
        <w:rPr>
          <w:b/>
        </w:rPr>
        <w:t xml:space="preserve">Onde está na tese: </w:t>
      </w:r>
      <w:r>
        <w:t>Cap. 1, seção 1.1 (justificativa); projeto, seção 13 (contribuições esperadas); cap. 4, seção 4.5.1 (devolutiva).</w:t>
      </w:r>
    </w:p>
    <w:p>
      <w:pPr>
        <w:pStyle w:val="Heading3"/>
      </w:pPr>
      <w:r>
        <w:t>Para a arguição</w:t>
      </w:r>
    </w:p>
    <w:p>
      <w:pPr>
        <w:spacing w:after="20"/>
      </w:pPr>
      <w:r>
        <w:rPr>
          <w:b/>
        </w:rPr>
        <w:t>Qual é a relevância social da pesquisa, além da acadêmica?</w:t>
      </w:r>
    </w:p>
    <w:p>
      <w:pPr>
        <w:jc w:val="both"/>
      </w:pPr>
      <w:r>
        <w:t>Mostrar o que uma política nacional exige do trabalho cotidiano de uma escola pequena, com que custo e com que implicações para os direitos das crianças, e devolver isso à escola e à rede.</w:t>
      </w:r>
    </w:p>
    <w:p>
      <w:pPr>
        <w:pStyle w:val="Heading2"/>
      </w:pPr>
      <w:r>
        <w:t>Lâmina 8 · Ineditismo</w:t>
      </w:r>
    </w:p>
    <w:p>
      <w:r>
        <w:rPr>
          <w:b/>
          <w:color w:val="555555"/>
        </w:rPr>
        <w:t xml:space="preserve">Na lâmina: </w:t>
      </w:r>
      <w:r>
        <w:rPr>
          <w:i/>
          <w:color w:val="555555"/>
        </w:rPr>
        <w:t>Três cartões: empírico-temporal, analítico-espacial e teórico-conceitual.</w:t>
      </w:r>
    </w:p>
    <w:p>
      <w:pPr>
        <w:pStyle w:val="Heading3"/>
      </w:pPr>
      <w:r>
        <w:t>Explicação</w:t>
      </w:r>
    </w:p>
    <w:p>
      <w:pPr>
        <w:jc w:val="both"/>
      </w:pPr>
      <w:r>
        <w:t>O ineditismo aparece em três planos que se apoiam mutuamente. O empírico-temporal vem do objeto e do tempo: a pesquisa acompanha a chegada da PNED ao cotidiano escolar, e nenhum dos nove estudos da revisão trata dessa política nem de uma rede municipal de pequeno porte.</w:t>
      </w:r>
    </w:p>
    <w:p>
      <w:pPr>
        <w:jc w:val="both"/>
      </w:pPr>
      <w:r>
        <w:t>O analítico-espacial vem do modo de tratar o lugar. Pipa entra como parte do contexto em que a política é encenada, e não como cenário. O distrito, que nos anos 1970 era uma comunidade agrícola e pesqueira, tornou-se destino turístico internacional e é hoje marcado por experiências desiguais de acesso e uso das tecnologias.</w:t>
      </w:r>
    </w:p>
    <w:p>
      <w:pPr>
        <w:jc w:val="both"/>
      </w:pPr>
      <w:r>
        <w:t>O teórico-conceitual vem da articulação de referenciais que a literatura costuma examinar separados: atuação, culturas profissionais, materialidade da escola e território. Essa articulação permite tratar a distância entre a norma e a escola como parte de uma relação política entre texto, contexto e sujeitos, sem classificá-la de imediato como falha, incapacidade ou resistência. Dela nasce a formulação "habitar o digital".</w:t>
      </w:r>
    </w:p>
    <w:p>
      <w:pPr>
        <w:pStyle w:val="Heading3"/>
      </w:pPr>
      <w:r>
        <w:t>Conceitos</w:t>
      </w:r>
    </w:p>
    <w:p>
      <w:pPr>
        <w:pStyle w:val="ListBullet"/>
        <w:jc w:val="both"/>
      </w:pPr>
      <w:r>
        <w:rPr>
          <w:b/>
        </w:rPr>
        <w:t xml:space="preserve">Território usado. </w:t>
      </w:r>
      <w:r>
        <w:t>"O território não é uma categoria de análise, a categoria de análise é o território usado" (SANTOS, 1999, p. 19): o território tomado pelas relações, pelos usos e pelos conflitos que o constituem.</w:t>
      </w:r>
    </w:p>
    <w:p>
      <w:pPr>
        <w:pStyle w:val="ListBullet"/>
        <w:jc w:val="both"/>
      </w:pPr>
      <w:r>
        <w:rPr>
          <w:b/>
        </w:rPr>
        <w:t xml:space="preserve">Lugar como encontro de trajetórias. </w:t>
      </w:r>
      <w:r>
        <w:t>Massey compreende o espaço como "a esfera da possibilidade da existência da multiplicidade" (2008, p. 29) e o lugar como "um encontro de trajetórias" (p. 204). O que há de especial no lugar é "esse acabar juntos, o inevitável desafio de negociar um aqui-e-agora" (p. 203).</w:t>
      </w:r>
    </w:p>
    <w:p>
      <w:pPr>
        <w:pStyle w:val="ListBullet"/>
        <w:jc w:val="both"/>
      </w:pPr>
      <w:r>
        <w:rPr>
          <w:b/>
        </w:rPr>
        <w:t xml:space="preserve">Distância entre norma e escola. </w:t>
      </w:r>
      <w:r>
        <w:t>Ball (2011, p. 36, 46) critica tanto as pesquisas que localizam o problema apenas na escola e no professor quanto as que transformam os sujeitos em heróis. A tese adota esse duplo cuidado.</w:t>
      </w:r>
    </w:p>
    <w:p>
      <w:pPr>
        <w:pStyle w:val="Heading3"/>
      </w:pPr>
      <w:r>
        <w:t>Autores e obras</w:t>
      </w:r>
    </w:p>
    <w:p>
      <w:pPr>
        <w:pStyle w:val="ListBullet"/>
        <w:jc w:val="both"/>
      </w:pPr>
      <w:r>
        <w:rPr>
          <w:b/>
        </w:rPr>
        <w:t xml:space="preserve">Milton Santos. </w:t>
      </w:r>
      <w:r>
        <w:t>Geógrafo brasileiro (informação geral). A tese usa três obras: "O território e o saber local" (1999), A natureza do espaço (2006) e Espaço e método (2012).</w:t>
      </w:r>
    </w:p>
    <w:p>
      <w:pPr>
        <w:pStyle w:val="ListBullet"/>
        <w:jc w:val="both"/>
      </w:pPr>
      <w:r>
        <w:rPr>
          <w:b/>
        </w:rPr>
        <w:t xml:space="preserve">Doreen Massey. </w:t>
      </w:r>
      <w:r>
        <w:t>Geógrafa britânica (informação geral). Obra usada: Pelo espaço: uma nova política da espacialidade (Bertrand Brasil, 2008), tradução de Hilda Pareto Maciel e Rogério Haesbaert.</w:t>
      </w:r>
    </w:p>
    <w:p>
      <w:pPr>
        <w:pStyle w:val="ListBullet"/>
        <w:jc w:val="both"/>
      </w:pPr>
      <w:r>
        <w:rPr>
          <w:b/>
        </w:rPr>
        <w:t xml:space="preserve">Stephen J. Ball (2011). </w:t>
      </w:r>
      <w:r>
        <w:t>Fonte dos dois cuidados: nem culpar a escola, nem romantizar os sujeitos.</w:t>
      </w:r>
    </w:p>
    <w:p>
      <w:r>
        <w:rPr>
          <w:b/>
        </w:rPr>
        <w:t xml:space="preserve">Onde está na tese: </w:t>
      </w:r>
      <w:r>
        <w:t>Cap. 1, seção 1.5; cap. 2, seção 2.5.4 (o ineditismo à luz da revisão); projeto, seção 4.</w:t>
      </w:r>
    </w:p>
    <w:p>
      <w:pPr>
        <w:pStyle w:val="Heading3"/>
      </w:pPr>
      <w:r>
        <w:t>Para a arguição</w:t>
      </w:r>
    </w:p>
    <w:p>
      <w:pPr>
        <w:spacing w:after="20"/>
      </w:pPr>
      <w:r>
        <w:rPr>
          <w:b/>
        </w:rPr>
        <w:t>Se a teoria da atuação já existe, o que é inédito?</w:t>
      </w:r>
    </w:p>
    <w:p>
      <w:pPr>
        <w:jc w:val="both"/>
      </w:pPr>
      <w:r>
        <w:t>O caso, o momento e a articulação: a PNED acompanhada na chegada, numa rede pequena, com o território lido como parte do contexto e com culturas profissionais e materialidade examinadas juntas. Os referenciais que permitem essa leitura são externos ao corpus da revisão (cap. 2, seção 2.5.4).</w:t>
      </w:r>
    </w:p>
    <w:p>
      <w:pPr>
        <w:pStyle w:val="Heading2"/>
      </w:pPr>
      <w:r>
        <w:t>Lâmina 9 · Divisor: Revisão sistemática</w:t>
      </w:r>
    </w:p>
    <w:p>
      <w:r>
        <w:rPr>
          <w:b/>
          <w:color w:val="555555"/>
        </w:rPr>
        <w:t xml:space="preserve">Na lâmina: </w:t>
      </w:r>
      <w:r>
        <w:rPr>
          <w:i/>
          <w:color w:val="555555"/>
        </w:rPr>
        <w:t>Faixas amarelas com "REVISÃO SISTEMÁTICA", "Capítulo 2" e "O que a literatura mostra".</w:t>
      </w:r>
    </w:p>
    <w:p>
      <w:pPr>
        <w:pStyle w:val="Heading3"/>
      </w:pPr>
      <w:r>
        <w:t>Explicação</w:t>
      </w:r>
    </w:p>
    <w:p>
      <w:pPr>
        <w:jc w:val="both"/>
      </w:pPr>
      <w:r>
        <w:t>Marca a passagem para o capítulo 2, "Entre a norma e o uso: o que a produção científica evidencia sobre a implementação da educação digital nos anos iniciais". Na arquitetura da tese, a revisão cumpre duas funções: localiza a lacuna em que se inscrevem o objeto e o ineditismo e oferece referências para os instrumentos do estudo de caso.</w:t>
      </w:r>
    </w:p>
    <w:p>
      <w:r>
        <w:rPr>
          <w:b/>
        </w:rPr>
        <w:t xml:space="preserve">Onde está na tese: </w:t>
      </w:r>
      <w:r>
        <w:t>Cap. 2 (abertura).</w:t>
      </w:r>
    </w:p>
    <w:p>
      <w:pPr>
        <w:pStyle w:val="Heading2"/>
      </w:pPr>
      <w:r>
        <w:t>Lâmina 10 · Percurso e respostas da revisão</w:t>
      </w:r>
    </w:p>
    <w:p>
      <w:r>
        <w:rPr>
          <w:b/>
          <w:color w:val="555555"/>
        </w:rPr>
        <w:t xml:space="preserve">Na lâmina: </w:t>
      </w:r>
      <w:r>
        <w:rPr>
          <w:i/>
          <w:color w:val="555555"/>
        </w:rPr>
        <w:t>Dois cartões: "Percurso" (questão, protocolo e números) e "Respostas" (as três subperguntas).</w:t>
      </w:r>
    </w:p>
    <w:p>
      <w:pPr>
        <w:pStyle w:val="Heading3"/>
      </w:pPr>
      <w:r>
        <w:t>Explicação</w:t>
      </w:r>
    </w:p>
    <w:p>
      <w:pPr>
        <w:jc w:val="both"/>
      </w:pPr>
      <w:r>
        <w:t>A revisão foi conduzida por protocolo próprio, orientado pela declaração PRISMA 2020. A questão norteadora pergunta o que a produção científica evidencia sobre a implementação de políticas públicas de educação digital nos anos iniciais. Três subperguntas organizam a extração: (a) que fatores institucionais, materiais e territoriais condicionam a implementação; (b) que papel a literatura atribui aos profissionais; (c) que sentidos de cultura digital e de formação cidadã a literatura associa a essas políticas.</w:t>
      </w:r>
    </w:p>
    <w:p>
      <w:pPr>
        <w:jc w:val="both"/>
      </w:pPr>
      <w:r>
        <w:t>O fluxo foi o seguinte. As sete bases retornaram 176 registros; cinco duplicatas foram removidas; a triagem por título e resumo excluiu 132; 39 textos foram buscados para leitura integral; quatro não puderam ser recuperados; dos 35 avaliados, 26 foram excluídos, e chegaram ao corpus nove estudos: seis artigos em periódicos e três teses ou dissertações brasileiras, todas localizadas na BDTD. A distribuição temporal é de dois estudos de 2021, quatro de 2022, um de 2023 e dois de 2024, embora a busca alcançasse 2019.</w:t>
      </w:r>
    </w:p>
    <w:p>
      <w:pPr>
        <w:jc w:val="both"/>
      </w:pPr>
      <w:r>
        <w:t>Quanto às respostas, a subpergunta (a) recebe resposta convergente: além de equipamentos e conectividade, pesam a formação continuada e situada, a estabilidade das equipes e do suporte, o tempo de trabalho e o marco regulatório. O território aparece apenas como contraste entre países e regiões. A subpergunta (b) recebe a resposta mais convergente: os profissionais interpretam a política e tomam decisões situadas. A subpergunta (c) tem apoio frágil.</w:t>
      </w:r>
    </w:p>
    <w:p>
      <w:pPr>
        <w:pStyle w:val="Heading3"/>
      </w:pPr>
      <w:r>
        <w:t>Conceitos</w:t>
      </w:r>
    </w:p>
    <w:p>
      <w:pPr>
        <w:pStyle w:val="ListBullet"/>
        <w:jc w:val="both"/>
      </w:pPr>
      <w:r>
        <w:rPr>
          <w:b/>
        </w:rPr>
        <w:t xml:space="preserve">Revisão sistemática. </w:t>
      </w:r>
      <w:r>
        <w:t>Para Kitchenham e Charters (2007, p. 3), é um meio de identificar, avaliar e interpretar todas as pesquisas disponíveis relevantes para uma questão, por metodologia "confiável, rigorosa e auditável".</w:t>
      </w:r>
    </w:p>
    <w:p>
      <w:pPr>
        <w:pStyle w:val="ListBullet"/>
        <w:jc w:val="both"/>
      </w:pPr>
      <w:r>
        <w:rPr>
          <w:b/>
        </w:rPr>
        <w:t xml:space="preserve">PRISMA 2020. </w:t>
      </w:r>
      <w:r>
        <w:t>Diretriz para relatar revisões sistemáticas, com fluxograma das etapas de seleção (PAGE et al., 2022).</w:t>
      </w:r>
    </w:p>
    <w:p>
      <w:pPr>
        <w:pStyle w:val="ListBullet"/>
        <w:jc w:val="both"/>
      </w:pPr>
      <w:r>
        <w:rPr>
          <w:b/>
        </w:rPr>
        <w:t xml:space="preserve">PICo. </w:t>
      </w:r>
      <w:r>
        <w:t>População, Interesse, Contexto. Estrutura da questão recomendada para revisões qualitativas, em que não há intervenção experimental nem comparador (LOCKWOOD et al., 2015).</w:t>
      </w:r>
    </w:p>
    <w:p>
      <w:pPr>
        <w:pStyle w:val="ListBullet"/>
        <w:jc w:val="both"/>
      </w:pPr>
      <w:r>
        <w:rPr>
          <w:b/>
        </w:rPr>
        <w:t xml:space="preserve">Síntese temática. </w:t>
      </w:r>
      <w:r>
        <w:t>Procedimento de três etapas: codificação dos resultados dos estudos, construção de temas descritivos e produção de temas analíticos que ultrapassam o conteúdo dos estudos originais (THOMAS; HARDEN, 2008).</w:t>
      </w:r>
    </w:p>
    <w:p>
      <w:pPr>
        <w:pStyle w:val="ListBullet"/>
        <w:jc w:val="both"/>
      </w:pPr>
      <w:r>
        <w:rPr>
          <w:b/>
        </w:rPr>
        <w:t xml:space="preserve">MMAT 2018. </w:t>
      </w:r>
      <w:r>
        <w:t>Mixed Methods Appraisal Tool, usado para avaliar a qualidade dos estudos empíricos (HONG et al., 2018). O piso adotado foi de três critérios atendidos em cinco.</w:t>
      </w:r>
    </w:p>
    <w:p>
      <w:pPr>
        <w:pStyle w:val="Heading3"/>
      </w:pPr>
      <w:r>
        <w:t>Autores e obras</w:t>
      </w:r>
    </w:p>
    <w:p>
      <w:pPr>
        <w:pStyle w:val="ListBullet"/>
        <w:jc w:val="both"/>
      </w:pPr>
      <w:r>
        <w:rPr>
          <w:b/>
        </w:rPr>
        <w:t xml:space="preserve">Estudos do corpus citados na resposta. </w:t>
      </w:r>
      <w:r>
        <w:t>Ivanishchenko, Busana e Reuter (2024), sobre Luxemburgo e o limite da provisão; Brown et al. (2021), sobre a norma como fonte de restrição; Pereira (2022), que usa a ACP; Gómez-Nashiki e Quijada-Lovatón (2021), sobre o custo do trabalho quando faltam condições; Karaferye (2022), sobre a Turquia; Williams (2022) e Paños-Castro, Arruti e Korres (2022), sobre território como contraste entre países; Nunes (2024), único que delimita o ciclo de alfabetização; Tussi (2023), sobre a dependência da capacitação.</w:t>
      </w:r>
    </w:p>
    <w:p>
      <w:pPr>
        <w:pStyle w:val="ListBullet"/>
        <w:jc w:val="both"/>
      </w:pPr>
      <w:r>
        <w:rPr>
          <w:b/>
        </w:rPr>
        <w:t xml:space="preserve">Métodos. </w:t>
      </w:r>
      <w:r>
        <w:t>Kitchenham e Charters (2007); Page et al. (2022); Lockwood et al. (2015); Thomas e Harden (2008); Hong et al. (2018); Okoli (2019).</w:t>
      </w:r>
    </w:p>
    <w:p>
      <w:r>
        <w:rPr>
          <w:b/>
        </w:rPr>
        <w:t xml:space="preserve">Onde está na tese: </w:t>
      </w:r>
      <w:r>
        <w:t>Cap. 2, seções 2.2 a 2.4 e 2.5.1; Apêndices A, B e C.</w:t>
      </w:r>
    </w:p>
    <w:p>
      <w:pPr>
        <w:pStyle w:val="Heading3"/>
      </w:pPr>
      <w:r>
        <w:t>Para a arguição</w:t>
      </w:r>
    </w:p>
    <w:p>
      <w:pPr>
        <w:spacing w:after="20"/>
      </w:pPr>
      <w:r>
        <w:rPr>
          <w:b/>
        </w:rPr>
        <w:t>Por que não consultar o Banco de Teses da CAPES?</w:t>
      </w:r>
    </w:p>
    <w:p>
      <w:pPr>
        <w:jc w:val="both"/>
      </w:pPr>
      <w:r>
        <w:t>Porque a BDTD já indexa as teses e dissertações dos programas reconhecidos pela CAPES; consultar os dois produziria registros repetidos sem ampliar o corpus de modo significativo (cap. 2, seção 2.2).</w:t>
      </w:r>
    </w:p>
    <w:p>
      <w:pPr>
        <w:spacing w:after="20"/>
      </w:pPr>
      <w:r>
        <w:rPr>
          <w:b/>
        </w:rPr>
        <w:t>Qual é a principal limitação da revisão?</w:t>
      </w:r>
    </w:p>
    <w:p>
      <w:pPr>
        <w:jc w:val="both"/>
      </w:pPr>
      <w:r>
        <w:t>A triagem, a leitura integral e as decisões de elegibilidade foram feitas por uma única pesquisadora, sem segundo avaliador. A limitação foi atenuada com critérios definidos antes e registro de cada decisão (cap. 2, seção 2.5.3).</w:t>
      </w:r>
    </w:p>
    <w:p>
      <w:pPr>
        <w:pStyle w:val="Heading2"/>
      </w:pPr>
      <w:r>
        <w:t>Lâmina 11 · O que a revisão decidiu</w:t>
      </w:r>
    </w:p>
    <w:p>
      <w:r>
        <w:rPr>
          <w:b/>
          <w:color w:val="555555"/>
        </w:rPr>
        <w:t xml:space="preserve">Na lâmina: </w:t>
      </w:r>
      <w:r>
        <w:rPr>
          <w:i/>
          <w:color w:val="555555"/>
        </w:rPr>
        <w:t>Seis linhas no formato "a revisão mostrou → por isso, a tese…".</w:t>
      </w:r>
    </w:p>
    <w:p>
      <w:pPr>
        <w:pStyle w:val="Heading3"/>
      </w:pPr>
      <w:r>
        <w:t>Explicação</w:t>
      </w:r>
    </w:p>
    <w:p>
      <w:pPr>
        <w:jc w:val="both"/>
      </w:pPr>
      <w:r>
        <w:t>A lâmina mostra que a revisão orientou escolhas concretas da tese. Cada linha liga um achado ou uma lacuna a uma decisão, com base no Quadro 8 e na seção 2.5.4.</w:t>
      </w:r>
    </w:p>
    <w:p>
      <w:pPr>
        <w:jc w:val="both"/>
      </w:pPr>
      <w:r>
        <w:t>Os estudos tratam os anos iniciais em bloco: sete dos 26 relatórios excluídos na elegibilidade o foram porque não era possível atribuir os achados a essa etapa, e só Nunes (2024) delimita o ciclo de alfabetização. A tese delimita o 1º ao 5º ano, incluindo esse ciclo. Nenhum estudo examina a PNED, e os três brasileiros estão em duas capitais e numa cidade de porte médio; a tese toma o eixo Educação Digital Escolar como objeto, numa rede de pequeno porte. O corpus examina sobretudo respostas à pandemia; a tese estuda a política no funcionamento ordinário da escola.</w:t>
      </w:r>
    </w:p>
    <w:p>
      <w:pPr>
        <w:jc w:val="both"/>
      </w:pPr>
      <w:r>
        <w:t>A quarta linha traz a contribuição que nasce do cruzamento dos dois primeiros eixos da revisão. Se as condições excedem a provisão e se os profissionais interpretam a política dentro delas, falta examinar o que fazem quando a condição anunciada não chega. A quinta linha registra que a cultura digital tem apoio frágil e que as crianças não aparecem como sujeitos; o tema será tratado de modo exploratório, sem hipóteses derivadas do corpus. A sexta diz que os três eixos da revisão serviram de referência para os instrumentos, sem virar categorias fechadas.</w:t>
      </w:r>
    </w:p>
    <w:p>
      <w:pPr>
        <w:pStyle w:val="Heading3"/>
      </w:pPr>
      <w:r>
        <w:t>Conceitos</w:t>
      </w:r>
    </w:p>
    <w:p>
      <w:pPr>
        <w:pStyle w:val="ListBullet"/>
        <w:jc w:val="both"/>
      </w:pPr>
      <w:r>
        <w:rPr>
          <w:b/>
        </w:rPr>
        <w:t xml:space="preserve">Lacuna. </w:t>
      </w:r>
      <w:r>
        <w:t>O que a literatura recuperada não examina, sustentado pelo corpus e pelo registro das exclusões. As oito lacunas do Quadro 8 vêm acompanhadas da evidência, da consequência para o campo e da resposta da tese.</w:t>
      </w:r>
    </w:p>
    <w:p>
      <w:pPr>
        <w:pStyle w:val="ListBullet"/>
        <w:jc w:val="both"/>
      </w:pPr>
      <w:r>
        <w:rPr>
          <w:b/>
        </w:rPr>
        <w:t xml:space="preserve">Caráter exploratório. </w:t>
      </w:r>
      <w:r>
        <w:t>Quando a literatura não sustenta proposições consistentes, o tema entra como questão de investigação, sem hipóteses prévias (cap. 2, seção 2.5.4).</w:t>
      </w:r>
    </w:p>
    <w:p>
      <w:pPr>
        <w:pStyle w:val="ListBullet"/>
        <w:jc w:val="both"/>
      </w:pPr>
      <w:r>
        <w:rPr>
          <w:b/>
        </w:rPr>
        <w:t xml:space="preserve">Referenciais externos ao corpus. </w:t>
      </w:r>
      <w:r>
        <w:t>A ACP, a teoria da atuação, Hargreaves, Ball, Santos e Massey não vêm dos nove estudos; a tese os traz para ler o que o corpus deixa em aberto.</w:t>
      </w:r>
    </w:p>
    <w:p>
      <w:pPr>
        <w:pStyle w:val="Heading3"/>
      </w:pPr>
      <w:r>
        <w:t>Autores e obras</w:t>
      </w:r>
    </w:p>
    <w:p>
      <w:pPr>
        <w:pStyle w:val="ListBullet"/>
        <w:jc w:val="both"/>
      </w:pPr>
      <w:r>
        <w:rPr>
          <w:b/>
        </w:rPr>
        <w:t xml:space="preserve">Nunes (2024) e Tussi (2023). </w:t>
      </w:r>
      <w:r>
        <w:t>Registram a falta de formação e a dependência da implementação em relação à capacitação, base da quarta decisão.</w:t>
      </w:r>
    </w:p>
    <w:p>
      <w:r>
        <w:rPr>
          <w:b/>
        </w:rPr>
        <w:t xml:space="preserve">Onde está na tese: </w:t>
      </w:r>
      <w:r>
        <w:t>Cap. 2, seções 2.5.2 (lacunas), Quadro 8 e 2.5.4 (contribuições da tese).</w:t>
      </w:r>
    </w:p>
    <w:p>
      <w:pPr>
        <w:pStyle w:val="Heading3"/>
      </w:pPr>
      <w:r>
        <w:t>Para a arguição</w:t>
      </w:r>
    </w:p>
    <w:p>
      <w:pPr>
        <w:spacing w:after="20"/>
      </w:pPr>
      <w:r>
        <w:rPr>
          <w:b/>
        </w:rPr>
        <w:t>A revisão definiu as categorias de análise?</w:t>
      </w:r>
    </w:p>
    <w:p>
      <w:pPr>
        <w:jc w:val="both"/>
      </w:pPr>
      <w:r>
        <w:t>Não as definiu. Os eixos da revisão indicam aspectos relevantes para os instrumentos, e as categorias analíticas são construídas com o referencial teórico e os objetivos (cap. 2, seção 2.5.4).</w:t>
      </w:r>
    </w:p>
    <w:p>
      <w:pPr>
        <w:pStyle w:val="Heading2"/>
      </w:pPr>
      <w:r>
        <w:t>Lâmina 12 · Divisor: Fundamentos teóricos</w:t>
      </w:r>
    </w:p>
    <w:p>
      <w:r>
        <w:rPr>
          <w:b/>
          <w:color w:val="555555"/>
        </w:rPr>
        <w:t xml:space="preserve">Na lâmina: </w:t>
      </w:r>
      <w:r>
        <w:rPr>
          <w:i/>
          <w:color w:val="555555"/>
        </w:rPr>
        <w:t>Faixas com "FUNDAMENTOS TEÓRICOS", "Capítulo 3" e "Do texto da política ao ato".</w:t>
      </w:r>
    </w:p>
    <w:p>
      <w:pPr>
        <w:pStyle w:val="Heading3"/>
      </w:pPr>
      <w:r>
        <w:t>Explicação</w:t>
      </w:r>
    </w:p>
    <w:p>
      <w:pPr>
        <w:jc w:val="both"/>
      </w:pPr>
      <w:r>
        <w:t>Abre o capítulo 3, "Como uma política se torna prática: atuação, culturas profissionais, poder e o habitar o digital". As três lâminas seguintes acompanham a política na ordem em que ela se move: da produção ao ato (lâmina 13), o que acontece dentro do contexto da prática (lâmina 14) e o lugar onde ela é posta em ato (lâmina 15).</w:t>
      </w:r>
    </w:p>
    <w:p>
      <w:r>
        <w:rPr>
          <w:b/>
        </w:rPr>
        <w:t xml:space="preserve">Onde está na tese: </w:t>
      </w:r>
      <w:r>
        <w:t>Cap. 3.</w:t>
      </w:r>
    </w:p>
    <w:p>
      <w:pPr>
        <w:pStyle w:val="Heading2"/>
      </w:pPr>
      <w:r>
        <w:t>Lâmina 13 · Do texto ao ato</w:t>
      </w:r>
    </w:p>
    <w:p>
      <w:r>
        <w:rPr>
          <w:b/>
          <w:color w:val="555555"/>
        </w:rPr>
        <w:t xml:space="preserve">Na lâmina: </w:t>
      </w:r>
      <w:r>
        <w:rPr>
          <w:i/>
          <w:color w:val="555555"/>
        </w:rPr>
        <w:t>Três caixas ligadas por setas: contexto de influência, contexto da produção do texto e contexto da prática. Embaixo, a citação de Bowe, Ball e Gold.</w:t>
      </w:r>
    </w:p>
    <w:p>
      <w:pPr>
        <w:pStyle w:val="Heading3"/>
      </w:pPr>
      <w:r>
        <w:t>Explicação</w:t>
      </w:r>
    </w:p>
    <w:p>
      <w:pPr>
        <w:jc w:val="both"/>
      </w:pPr>
      <w:r>
        <w:t>A Abordagem do Ciclo de Políticas (ACP) surgiu como alternativa aos modelos que descreviam as políticas como sequência linear, formulada no centro e executada nas pontas. Bowe, Ball e Gold (1992) propuseram lê-las como processo contínuo, em que contextos distintos se influenciam sem hierarquia fixa entre quem formula e quem executa. Mainardes (2006) sistematizou a abordagem para a pesquisa educacional brasileira.</w:t>
      </w:r>
    </w:p>
    <w:p>
      <w:pPr>
        <w:jc w:val="both"/>
      </w:pPr>
      <w:r>
        <w:t>As três caixas da lâmina correspondem aos três contextos principais. No contexto de influência, disputam-se as finalidades e os discursos que darão origem à política; na tese, ele aparece nas agendas internacionais e na comparação entre países. No contexto da produção do texto, essas disputas ganham forma em leis e documentos, como a Lei nº 14.533 e a Resolução CNE/CEB nº 2/2025; ali se lê o que a lei pede e com que meios. Os dois são examinados no cap. 5. No contexto da prática, os textos são recebidos e reinterpretados, e esse contexto ocupa posição privilegiada na tese, nos caps. 6 e 7. Mainardes registra ainda os contextos dos resultados e da estratégia política, acrescentados por Ball depois.</w:t>
      </w:r>
    </w:p>
    <w:p>
      <w:pPr>
        <w:jc w:val="both"/>
      </w:pPr>
      <w:r>
        <w:t>A teoria da atuação leva a ACP para dentro da escola e pergunta como as instituições colocam as políticas em ação. Encenar uma política, na definição da tese, é interpretá-la, isto é, ler o que o texto pede e produzir sentidos sobre ele, e traduzi-la, isto é, transformar essa leitura em planejamentos, rotinas, registros e atividades possíveis naquela escola, com aquelas pessoas e aqueles recursos.</w:t>
      </w:r>
    </w:p>
    <w:p>
      <w:pPr>
        <w:jc w:val="both"/>
      </w:pPr>
      <w:r>
        <w:t>Desde a formulação, a ACP reconhece que as políticas "são intervenções textuais, mas carregam também restrições e possibilidades materiais" (BOWE; BALL; GOLD, 1992, p. 21). Por isso a existência ou a falta de equipamentos, de conexão, de tempo e de formação entra na análise como parte da própria política.</w:t>
      </w:r>
    </w:p>
    <w:p>
      <w:pPr>
        <w:pStyle w:val="Heading3"/>
      </w:pPr>
      <w:r>
        <w:t>Conceitos</w:t>
      </w:r>
    </w:p>
    <w:p>
      <w:pPr>
        <w:pStyle w:val="ListBullet"/>
        <w:jc w:val="both"/>
      </w:pPr>
      <w:r>
        <w:rPr>
          <w:b/>
        </w:rPr>
        <w:t xml:space="preserve">Abordagem do Ciclo de Políticas (ACP). </w:t>
      </w:r>
      <w:r>
        <w:t>Matriz para compreender a trajetória da PNED como processo contínuo, com contextos que se influenciam mutuamente.</w:t>
      </w:r>
    </w:p>
    <w:p>
      <w:pPr>
        <w:pStyle w:val="ListBullet"/>
        <w:jc w:val="both"/>
      </w:pPr>
      <w:r>
        <w:rPr>
          <w:b/>
        </w:rPr>
        <w:t xml:space="preserve">Contextos de influência, de produção do texto e da prática. </w:t>
      </w:r>
      <w:r>
        <w:t>Onde se disputam as finalidades; onde as disputas viram texto; onde os textos são recebidos e recriados.</w:t>
      </w:r>
    </w:p>
    <w:p>
      <w:pPr>
        <w:pStyle w:val="ListBullet"/>
        <w:jc w:val="both"/>
      </w:pPr>
      <w:r>
        <w:rPr>
          <w:b/>
        </w:rPr>
        <w:t xml:space="preserve">Atuação ou encenação (enactment). </w:t>
      </w:r>
      <w:r>
        <w:t>"A política é complexamente codificada em textos e artefatos e é decodificada (e recodificada) de forma igualmente complexa" (BMB, 2016, p. 14). A tese usa "encenação" para o fenômeno e "atuação" ao citar os autores; "implementação" aparece quando cita leis e estudos que usam o termo.</w:t>
      </w:r>
    </w:p>
    <w:p>
      <w:pPr>
        <w:pStyle w:val="ListBullet"/>
        <w:jc w:val="both"/>
      </w:pPr>
      <w:r>
        <w:rPr>
          <w:b/>
        </w:rPr>
        <w:t xml:space="preserve">Interpretação e tradução. </w:t>
      </w:r>
      <w:r>
        <w:t>Os dois movimentos da encenação: ler e produzir sentidos; transformar a leitura em ações possíveis.</w:t>
      </w:r>
    </w:p>
    <w:p>
      <w:pPr>
        <w:pStyle w:val="ListBullet"/>
        <w:jc w:val="both"/>
      </w:pPr>
      <w:r>
        <w:rPr>
          <w:b/>
        </w:rPr>
        <w:t xml:space="preserve">Quatro dimensões do contexto. </w:t>
      </w:r>
      <w:r>
        <w:t>Situacional (localidade, história da escola, público), culturas profissionais (valores, compromissos, experiências), material (funcionários, orçamento, edifícios, tecnologia, infraestrutura) e externa (pressões e apoios vindos de fora) (BMB, 2016, p. 38). O contexto "é uma força ‘ativa’, não é apenas um pano de fundo" (p. 42); o material "refere-se aos aspectos ‘físicos’ de uma escola" (p. 48).</w:t>
      </w:r>
    </w:p>
    <w:p>
      <w:pPr>
        <w:pStyle w:val="ListBullet"/>
        <w:jc w:val="both"/>
      </w:pPr>
      <w:r>
        <w:rPr>
          <w:b/>
        </w:rPr>
        <w:t xml:space="preserve">Leitores não ingênuos. </w:t>
      </w:r>
      <w:r>
        <w:t>Os profissionais "não se deparam com os textos das políticas como leitores ingênuos; eles chegam a eles com suas próprias histórias, experiências, valores e propósitos" (BOWE; BALL; GOLD, 1992, p. 22).</w:t>
      </w:r>
    </w:p>
    <w:p>
      <w:pPr>
        <w:pStyle w:val="Heading3"/>
      </w:pPr>
      <w:r>
        <w:t>Autores e obras</w:t>
      </w:r>
    </w:p>
    <w:p>
      <w:pPr>
        <w:pStyle w:val="ListBullet"/>
        <w:jc w:val="both"/>
      </w:pPr>
      <w:r>
        <w:rPr>
          <w:b/>
        </w:rPr>
        <w:t xml:space="preserve">Richard Bowe, Stephen J. Ball e Anne Gold (1992). </w:t>
      </w:r>
      <w:r>
        <w:t>Formularam a ACP em Reforming education and changing schools.</w:t>
      </w:r>
    </w:p>
    <w:p>
      <w:pPr>
        <w:pStyle w:val="ListBullet"/>
        <w:jc w:val="both"/>
      </w:pPr>
      <w:r>
        <w:rPr>
          <w:b/>
        </w:rPr>
        <w:t xml:space="preserve">Jefferson Mainardes (2006). </w:t>
      </w:r>
      <w:r>
        <w:t>Pesquisador brasileiro da Universidade Estadual de Ponta Grossa (informação geral). Artigo "Abordagem do ciclo de políticas", Educação &amp; Sociedade, que sistematiza os contextos e propõe questões analíticas usadas no cap. 4.</w:t>
      </w:r>
    </w:p>
    <w:p>
      <w:pPr>
        <w:pStyle w:val="ListBullet"/>
        <w:jc w:val="both"/>
      </w:pPr>
      <w:r>
        <w:rPr>
          <w:b/>
        </w:rPr>
        <w:t xml:space="preserve">Ball, Maguire e Braun (2016). </w:t>
      </w:r>
      <w:r>
        <w:t>Teoria da atuação: p. 14, 38, 42, 48, 74-75, 102 e 103.</w:t>
      </w:r>
    </w:p>
    <w:p>
      <w:pPr>
        <w:pStyle w:val="ListBullet"/>
        <w:jc w:val="both"/>
      </w:pPr>
      <w:r>
        <w:rPr>
          <w:b/>
        </w:rPr>
        <w:t xml:space="preserve">Rizvi e Kemmis (1987). </w:t>
      </w:r>
      <w:r>
        <w:t>Citados por Bowe, Ball e Gold (1992, p. 22): os participantes interpretam um programa "em relação aos meios de que dispõem e às formas de trabalho que preferem".</w:t>
      </w:r>
    </w:p>
    <w:p>
      <w:r>
        <w:rPr>
          <w:b/>
        </w:rPr>
        <w:t xml:space="preserve">Onde está na tese: </w:t>
      </w:r>
      <w:r>
        <w:t>Cap. 3, seções 3.1 e 3.2; cap. 4, seção 4.2 (operacionalização de cada contexto e questões de Mainardes).</w:t>
      </w:r>
    </w:p>
    <w:p>
      <w:pPr>
        <w:pStyle w:val="Heading3"/>
      </w:pPr>
      <w:r>
        <w:t>Para a arguição</w:t>
      </w:r>
    </w:p>
    <w:p>
      <w:pPr>
        <w:spacing w:after="20"/>
      </w:pPr>
      <w:r>
        <w:rPr>
          <w:b/>
        </w:rPr>
        <w:t>Qual a diferença entre interpretar e traduzir?</w:t>
      </w:r>
    </w:p>
    <w:p>
      <w:pPr>
        <w:jc w:val="both"/>
      </w:pPr>
      <w:r>
        <w:t>Interpretar é ler o que o texto pede e produzir sentidos sobre ele. Traduzir é transformar essa leitura em planejamentos, rotinas, registros e atividades possíveis naquela escola.</w:t>
      </w:r>
    </w:p>
    <w:p>
      <w:pPr>
        <w:spacing w:after="20"/>
      </w:pPr>
      <w:r>
        <w:rPr>
          <w:b/>
        </w:rPr>
        <w:t>Uma teoria construída em escolas inglesas serve a Pipa?</w:t>
      </w:r>
    </w:p>
    <w:p>
      <w:pPr>
        <w:jc w:val="both"/>
      </w:pPr>
      <w:r>
        <w:t>Serve com uma ressalva que a própria tese faz. Nas escolas estudadas, os meios existiam, ainda que desiguais, e as atuações se sustentavam em "compromisso cru" e "boa vontade" (BMB, 2016, p. 102). Em Pipa, parte das condições pode não chegar, e a tese pergunta o que esse compromisso precisa fazer quando começa pela falta (cap. 3, seção 3.2; cap. 4, seção 4.3.1).</w:t>
      </w:r>
    </w:p>
    <w:p>
      <w:pPr>
        <w:pStyle w:val="Heading2"/>
      </w:pPr>
      <w:r>
        <w:t>Lâmina 14 · No contexto da prática</w:t>
      </w:r>
    </w:p>
    <w:p>
      <w:r>
        <w:rPr>
          <w:b/>
          <w:color w:val="555555"/>
        </w:rPr>
        <w:t xml:space="preserve">Na lâmina: </w:t>
      </w:r>
      <w:r>
        <w:rPr>
          <w:i/>
          <w:color w:val="555555"/>
        </w:rPr>
        <w:t>Três cartões com tacha: "Culturas profissionais filtram", "Performatividade pressiona", "Relações de poder tensionam".</w:t>
      </w:r>
    </w:p>
    <w:p>
      <w:pPr>
        <w:pStyle w:val="Heading3"/>
      </w:pPr>
      <w:r>
        <w:t>Explicação</w:t>
      </w:r>
    </w:p>
    <w:p>
      <w:pPr>
        <w:jc w:val="both"/>
      </w:pPr>
      <w:r>
        <w:t>A lâmina organiza três noções pelo efeito que têm sobre a atuação. As culturas profissionais filtram a leitura da política: o que uma equipe considera um bom trabalho, o que costuma acolher e o que costuma deixar de lado decidem o que será priorizado num eixo que reúne pensamento computacional, cultura digital e direitos digitais. A forma das relações também pesa: decide se uma orientação nova será discutida entre colegas, assumida por quem tem mais afinidade com a tecnologia ou deixada a cada professora em sua turma.</w:t>
      </w:r>
    </w:p>
    <w:p>
      <w:pPr>
        <w:jc w:val="both"/>
      </w:pPr>
      <w:r>
        <w:t>A performatividade pressiona a atuação. É uma cultura de metas, comparações, indicadores e prestação de contas que orienta o trabalho e a identidade dos profissionais. A fabricação é a sua face visível: versões da escola produzidas para serem vistas e avaliadas. Na PNED, o próprio texto da lei prevê instrumentos que podem trazer essas exigências, como ferramentas de autodiagnóstico de competências digitais e o monitoramento das condições de acesso à internet (art. 3º, § 1º).</w:t>
      </w:r>
    </w:p>
    <w:p>
      <w:pPr>
        <w:jc w:val="both"/>
      </w:pPr>
      <w:r>
        <w:t>As relações de poder tensionam a atuação. Com Foucault, a resistência faz parte das relações de poder que a política mobiliza: onde há normas, exigências e registros, há também pontos em que eles se tornam instáveis. Daí a lista de formas de atuação, nenhuma pressuposta. Dois contrapesos completam a leitura: Ball adverte contra culpar a escola e contra romantizar os sujeitos, e Freire lembra que, sem condições favoráveis, o professor se move menos eficazmente.</w:t>
      </w:r>
    </w:p>
    <w:p>
      <w:pPr>
        <w:pStyle w:val="Heading3"/>
      </w:pPr>
      <w:r>
        <w:t>Conceitos</w:t>
      </w:r>
    </w:p>
    <w:p>
      <w:pPr>
        <w:pStyle w:val="ListBullet"/>
        <w:jc w:val="both"/>
      </w:pPr>
      <w:r>
        <w:rPr>
          <w:b/>
        </w:rPr>
        <w:t xml:space="preserve">Culturas profissionais. </w:t>
      </w:r>
      <w:r>
        <w:t>"As culturas do ensino compreendem crenças, valores, hábitos e formas de fazer as coisas assumidas pelas comunidades de professores que têm de enfrentar exigências e limitações semelhantes ao longo de muitos anos" (HARGREAVES, 2005, p. 189, tradução nossa).</w:t>
      </w:r>
    </w:p>
    <w:p>
      <w:pPr>
        <w:pStyle w:val="ListBullet"/>
        <w:jc w:val="both"/>
      </w:pPr>
      <w:r>
        <w:rPr>
          <w:b/>
        </w:rPr>
        <w:t xml:space="preserve">Conteúdo e forma das culturas. </w:t>
      </w:r>
      <w:r>
        <w:t>O conteúdo são os pressupostos, valores, atitudes e crenças compartilhados; a forma são os padrões de relação entre os profissionais: individualismo, colaboração, colegialidade artificial e balcanização (HARGREAVES, 2005, p. 189-191).</w:t>
      </w:r>
    </w:p>
    <w:p>
      <w:pPr>
        <w:pStyle w:val="ListBullet"/>
        <w:jc w:val="both"/>
      </w:pPr>
      <w:r>
        <w:rPr>
          <w:b/>
        </w:rPr>
        <w:t xml:space="preserve">Performatividade. </w:t>
      </w:r>
      <w:r>
        <w:t>"A performatividade é uma cultura ou um sistema de ‘terror’. É um regime de prestação de contas que emprega julgamentos, comparações e exposições como meios de controle, desgaste e mudança" (BALL, 2008, p. 49, tradução nossa). Opera por tecnologias políticas, "o emprego calculado de formas de organização e de procedimentos" (BALL, 2008, p. 41).</w:t>
      </w:r>
    </w:p>
    <w:p>
      <w:pPr>
        <w:pStyle w:val="ListBullet"/>
        <w:jc w:val="both"/>
      </w:pPr>
      <w:r>
        <w:rPr>
          <w:b/>
        </w:rPr>
        <w:t xml:space="preserve">Fabricação. </w:t>
      </w:r>
      <w:r>
        <w:t>Versões de uma instituição ou prática produzidas para serem vistas, avaliadas e prestadas como conta (BALL, 2002). Não supõe má-fé: responde às exigências sob as quais a escola é observada. No cap. 4, a "fabricação performativa" reúne registros produzidos para responder a cobranças que não correspondem ao que acontece com as crianças.</w:t>
      </w:r>
    </w:p>
    <w:p>
      <w:pPr>
        <w:pStyle w:val="ListBullet"/>
        <w:jc w:val="both"/>
      </w:pPr>
      <w:r>
        <w:rPr>
          <w:b/>
        </w:rPr>
        <w:t xml:space="preserve">Poder e resistência. </w:t>
      </w:r>
      <w:r>
        <w:t>As relações de poder "não são unívocas; definem inúmeros pontos de luta, focos de instabilidade comportando cada um seus riscos de conflito, de lutas e de inversão pelo menos transitória da relação de forças" (FOUCAULT, 1999, p. 29). Ball, Maguire e Braun recorrem a Foucault para tratar a política como "uma certa economia de discursos da verdade" (FOUCAULT, 1980, p. 93 apud BMB, 2016, p. 21).</w:t>
      </w:r>
    </w:p>
    <w:p>
      <w:pPr>
        <w:pStyle w:val="ListBullet"/>
        <w:jc w:val="both"/>
      </w:pPr>
      <w:r>
        <w:rPr>
          <w:b/>
        </w:rPr>
        <w:t xml:space="preserve">Formas de atuação (cap. 4, seção 4.3.1). </w:t>
      </w:r>
      <w:r>
        <w:t>Adesão: a orientação é assumida como própria. Acomodação: é cumprida com os meios disponíveis, sem que a escola a faça sua. Adaptação e negociação: é ajustada às condições da turma ou discutida entre os profissionais. Omissão seletiva: partes ficam fora do planejamento, e o relato indica por quê. Tradução para fins locais e ressignificação: a orientação é refeita para servir à turma e à comunidade. Resistência: a orientação é recusada ou contestada, de forma aberta ou não.</w:t>
      </w:r>
    </w:p>
    <w:p>
      <w:pPr>
        <w:pStyle w:val="ListBullet"/>
        <w:jc w:val="both"/>
      </w:pPr>
      <w:r>
        <w:rPr>
          <w:b/>
        </w:rPr>
        <w:t xml:space="preserve">Transferência de custo. </w:t>
      </w:r>
      <w:r>
        <w:t>Quando o profissional cobre a falta com meios próprios (celular, dinheiro, tempo de descanso), o achado é lido como custo transferido pelo desenho da política, mais próximo da sobrevivência que da resistência (cap. 4, seção 4.3.1).</w:t>
      </w:r>
    </w:p>
    <w:p>
      <w:pPr>
        <w:pStyle w:val="Heading3"/>
      </w:pPr>
      <w:r>
        <w:t>Autores e obras</w:t>
      </w:r>
    </w:p>
    <w:p>
      <w:pPr>
        <w:pStyle w:val="ListBullet"/>
        <w:jc w:val="both"/>
      </w:pPr>
      <w:r>
        <w:rPr>
          <w:b/>
        </w:rPr>
        <w:t xml:space="preserve">Andy Hargreaves. </w:t>
      </w:r>
      <w:r>
        <w:t>Pesquisador em educação nascido na Inglaterra, com carreira no Canadá e nos Estados Unidos (informação geral). Obra usada: Profesorado, cultura y postmodernidad (Morata, 2005), tradução espanhola de Changing Teachers, Changing Times (1994).</w:t>
      </w:r>
    </w:p>
    <w:p>
      <w:pPr>
        <w:pStyle w:val="ListBullet"/>
        <w:jc w:val="both"/>
      </w:pPr>
      <w:r>
        <w:rPr>
          <w:b/>
        </w:rPr>
        <w:t xml:space="preserve">Stephen J. Ball. </w:t>
      </w:r>
      <w:r>
        <w:t>Quatro textos: "Reformar escolas/reformar professores e os terrores da performatividade" (2002), "Performatividade, privatização e o pós-Estado do bem-estar" (2004), The education debate (2008) e o capítulo de 2011.</w:t>
      </w:r>
    </w:p>
    <w:p>
      <w:pPr>
        <w:pStyle w:val="ListBullet"/>
        <w:jc w:val="both"/>
      </w:pPr>
      <w:r>
        <w:rPr>
          <w:b/>
        </w:rPr>
        <w:t xml:space="preserve">Michel Foucault. </w:t>
      </w:r>
      <w:r>
        <w:t>Filósofo francês (informação geral). Vigiar e punir: nascimento da prisão, publicado originalmente em 1975, na tradução de Raquel Ramalhete (Vozes, 1999).</w:t>
      </w:r>
    </w:p>
    <w:p>
      <w:pPr>
        <w:pStyle w:val="ListBullet"/>
        <w:jc w:val="both"/>
      </w:pPr>
      <w:r>
        <w:rPr>
          <w:b/>
        </w:rPr>
        <w:t xml:space="preserve">Paulo Freire. </w:t>
      </w:r>
      <w:r>
        <w:t>Educador brasileiro (informação geral). Pedagogia da autonomia (Paz e Terra, 2019, 60. ed.), p. 62 e 64-65.</w:t>
      </w:r>
    </w:p>
    <w:p>
      <w:r>
        <w:rPr>
          <w:b/>
        </w:rPr>
        <w:t xml:space="preserve">Onde está na tese: </w:t>
      </w:r>
      <w:r>
        <w:t>Cap. 3, seções 3.3, 3.4 e 3.5; cap. 4, seção 4.3.1 (critérios de cada forma de atuação).</w:t>
      </w:r>
    </w:p>
    <w:p>
      <w:pPr>
        <w:pStyle w:val="Heading3"/>
      </w:pPr>
      <w:r>
        <w:t>Para a arguição</w:t>
      </w:r>
    </w:p>
    <w:p>
      <w:pPr>
        <w:spacing w:after="20"/>
      </w:pPr>
      <w:r>
        <w:rPr>
          <w:b/>
        </w:rPr>
        <w:t>Quando uma prática distante da norma é resistência e quando é falta de condições?</w:t>
      </w:r>
    </w:p>
    <w:p>
      <w:pPr>
        <w:jc w:val="both"/>
      </w:pPr>
      <w:r>
        <w:t>A distinção se faz na análise, com critérios fixados antes do campo. A prática pode ser acomodação, falta de condições, prioridade a outra demanda, outra leitura do texto, omissão, adaptação ou negociação. Só conta como resistência quando a orientação é recusada ou contestada e os dados sustentam essa leitura; se o profissional diz não haver alternativa, o quadro é de transferência de custo.</w:t>
      </w:r>
    </w:p>
    <w:p>
      <w:pPr>
        <w:pStyle w:val="Heading2"/>
      </w:pPr>
      <w:r>
        <w:t>Lâmina 15 · Onde a política é posta em ato</w:t>
      </w:r>
    </w:p>
    <w:p>
      <w:r>
        <w:rPr>
          <w:b/>
          <w:color w:val="555555"/>
        </w:rPr>
        <w:t xml:space="preserve">Na lâmina: </w:t>
      </w:r>
      <w:r>
        <w:rPr>
          <w:i/>
          <w:color w:val="555555"/>
        </w:rPr>
        <w:t>Dois cartões: "Território e lugar" e "Habitar o digital", com a definição da tese em negrito.</w:t>
      </w:r>
    </w:p>
    <w:p>
      <w:pPr>
        <w:pStyle w:val="Heading3"/>
      </w:pPr>
      <w:r>
        <w:t>Explicação</w:t>
      </w:r>
    </w:p>
    <w:p>
      <w:pPr>
        <w:jc w:val="both"/>
      </w:pPr>
      <w:r>
        <w:t>A lâmina responde onde a política é posta em ato. Com Milton Santos, o território é lido pelos usos, pelas relações e pelos conflitos que o constituem. A técnica tem papel central: os objetos técnicos instalados num lugar carregam a história do momento em que foram produzidos e condicionam as ações possíveis. Como os lugares não se renovam por inteiro, formas herdadas continuam presentes, e Santos chama essas permanências de rugosidades.</w:t>
      </w:r>
    </w:p>
    <w:p>
      <w:pPr>
        <w:jc w:val="both"/>
      </w:pPr>
      <w:r>
        <w:t>Com Doreen Massey, o lugar é um encontro de trajetórias, sempre em construção. Em Pipa, essas trajetórias se sobrepõem: as crianças da escola vêm de famílias de moradores antigos, de migrantes, de estrangeiros e de pessoas ligadas ao turismo, com condições diversas de acesso às tecnologias.</w:t>
      </w:r>
    </w:p>
    <w:p>
      <w:pPr>
        <w:jc w:val="both"/>
      </w:pPr>
      <w:r>
        <w:t>"Habitar o digital" é a formulação própria da tese. Parte da tradição do habitar, retomada por Schlemmer, Backes e Palagi e por Di Felice, e se apoia nas leituras de território de Santos e Massey. Designa as maneiras pelas quais as tecnologias digitais atravessam os espaços, as relações e as práticas cotidianas de um território, produzindo possibilidades desiguais de acesso, participação e apropriação. Em Pipa, nomeia a tensão entre a alta densidade tecnológica dos circuitos turísticos e a disponibilidade limitada de tecnologias nos espaços pedagógicos da escola.</w:t>
      </w:r>
    </w:p>
    <w:p>
      <w:pPr>
        <w:jc w:val="both"/>
      </w:pPr>
      <w:r>
        <w:t>Plataformas e dados entram como contexto teórico da proteção e da participação, sem virar categorias de análise do campo, e chegam às entrevistas pelo Eixo 6, que pergunta pelos aplicativos usados com as crianças, pelo aparelho empregado e pelo cuidado com os dados.</w:t>
      </w:r>
    </w:p>
    <w:p>
      <w:pPr>
        <w:pStyle w:val="Heading3"/>
      </w:pPr>
      <w:r>
        <w:t>Conceitos</w:t>
      </w:r>
    </w:p>
    <w:p>
      <w:pPr>
        <w:pStyle w:val="ListBullet"/>
        <w:jc w:val="both"/>
      </w:pPr>
      <w:r>
        <w:rPr>
          <w:b/>
        </w:rPr>
        <w:t xml:space="preserve">Território usado. </w:t>
      </w:r>
      <w:r>
        <w:t>(SANTOS, 1999, p. 19). Ver lâmina 8. O território usado é também "campo de forças" (SANTOS, 1999, p. 20).</w:t>
      </w:r>
    </w:p>
    <w:p>
      <w:pPr>
        <w:pStyle w:val="ListBullet"/>
        <w:jc w:val="both"/>
      </w:pPr>
      <w:r>
        <w:rPr>
          <w:b/>
        </w:rPr>
        <w:t xml:space="preserve">Sistemas de objetos e de ações. </w:t>
      </w:r>
      <w:r>
        <w:t>"Os sistemas de objetos condicionam a forma como se dão as ações e, de outro lado, o sistema de ações leva à criação de objetos novos ou se realiza sobre objetos preexistentes" (SANTOS, 2006, p. 39).</w:t>
      </w:r>
    </w:p>
    <w:p>
      <w:pPr>
        <w:pStyle w:val="ListBullet"/>
        <w:jc w:val="both"/>
      </w:pPr>
      <w:r>
        <w:rPr>
          <w:b/>
        </w:rPr>
        <w:t xml:space="preserve">Rugosidade. </w:t>
      </w:r>
      <w:r>
        <w:t>"Chamemos rugosidade ao que fica do passado como forma, espaço construído, paisagem, o que resta do processo de supressão, acumulação, superposição" (SANTOS, 2006, p. 92).</w:t>
      </w:r>
    </w:p>
    <w:p>
      <w:pPr>
        <w:pStyle w:val="ListBullet"/>
        <w:jc w:val="both"/>
      </w:pPr>
      <w:r>
        <w:rPr>
          <w:b/>
        </w:rPr>
        <w:t xml:space="preserve">Zonas servidas e áreas desprovidas. </w:t>
      </w:r>
      <w:r>
        <w:t>Com o meio técnico-científico-informacional, "distinguem-se zonas servidas pelos meios de conhecimento e áreas desprovidas dessa vantagem" (SANTOS, 2006, p. 163). Em texto anterior, Santos nomeia a "dissonância entre os usos econômicos e os usos sociais dos mesmos recursos" (1999, p. 20-21).</w:t>
      </w:r>
    </w:p>
    <w:p>
      <w:pPr>
        <w:pStyle w:val="ListBullet"/>
        <w:jc w:val="both"/>
      </w:pPr>
      <w:r>
        <w:rPr>
          <w:b/>
        </w:rPr>
        <w:t xml:space="preserve">Crítica à leitura como atraso. </w:t>
      </w:r>
      <w:r>
        <w:t>Massey critica a operação que "transforma a geografia em história, o espaço em tempo" e "reduz coexistências simultâneas a um lugar na fila da história" (2008, p. 24). Escola e polo turístico são contemporâneos.</w:t>
      </w:r>
    </w:p>
    <w:p>
      <w:pPr>
        <w:pStyle w:val="ListBullet"/>
        <w:jc w:val="both"/>
      </w:pPr>
      <w:r>
        <w:rPr>
          <w:b/>
        </w:rPr>
        <w:t xml:space="preserve">Habitar e Educação OnLIFE. </w:t>
      </w:r>
      <w:r>
        <w:t>Habitar "tem o significado de estar presente" e, "além de estar acompanhado do movimento, tem uma natureza relacional" (SCHLEMMER; BACKES; PALAGI, 2021, p. 15). Educação OnLIFE é "uma educação transubstanciada e cibricidadã, ligada, conectada (On) na vida (LIFE)" (p. 24). As autoras recorrem a Di Felice para pensar o habitar "enquanto prática comunicativa" (p. 17).</w:t>
      </w:r>
    </w:p>
    <w:p>
      <w:pPr>
        <w:pStyle w:val="ListBullet"/>
        <w:jc w:val="both"/>
      </w:pPr>
      <w:r>
        <w:rPr>
          <w:b/>
        </w:rPr>
        <w:t xml:space="preserve">Habitar atópico e ecossistemas informativos. </w:t>
      </w:r>
      <w:r>
        <w:t>Di Felice (2009) mostra que cada tecnologia comunicativa transforma a relação entre sujeito, meios e território: a escrita artificial "inaugurará um novo modo de habitar" (p. 102). Com as redes digitais, descreve um habitar atópico, realizado por interfaces, em ecossistemas informativos (p. 20, citação indireta).</w:t>
      </w:r>
    </w:p>
    <w:p>
      <w:pPr>
        <w:pStyle w:val="ListBullet"/>
        <w:jc w:val="both"/>
      </w:pPr>
      <w:r>
        <w:rPr>
          <w:b/>
        </w:rPr>
        <w:t xml:space="preserve">Plataformas, dados e solucionismo. </w:t>
      </w:r>
      <w:r>
        <w:t>Capitalismo de vigilância: "nova ordem econômica que reivindica a experiência humana como matéria-prima gratuita" (ZUBOFF, 2021, n. p.). Para o mercado de dados crescer, é preciso derrotar "a ideia de privacidade" (SILVEIRA, 2017, p. 34). Solucionismo: a ideia de que os problemas "devem ser resolvidos por meio de aplicativos, sensores e ciclos infinitos de retroalimentação" (MOROZOV, 2018, p. 88). Contraponto: na cultura digital, os sujeitos podem ser "produtores ativos de cultura" (PRETTO; CORDEIRO; OLIVEIRA, 2013, p. 35).</w:t>
      </w:r>
    </w:p>
    <w:p>
      <w:pPr>
        <w:pStyle w:val="Heading3"/>
      </w:pPr>
      <w:r>
        <w:t>Autores e obras</w:t>
      </w:r>
    </w:p>
    <w:p>
      <w:pPr>
        <w:pStyle w:val="ListBullet"/>
        <w:jc w:val="both"/>
      </w:pPr>
      <w:r>
        <w:rPr>
          <w:b/>
        </w:rPr>
        <w:t xml:space="preserve">Eliane Schlemmer, Luciana Backes e Ana Maria Marques Palagi (2021). </w:t>
      </w:r>
      <w:r>
        <w:t>Capítulo de abertura de O habitar do ensinar e do aprender OnLIFE (Casa Leiria). Schlemmer é pesquisadora da Unisinos (informação geral).</w:t>
      </w:r>
    </w:p>
    <w:p>
      <w:pPr>
        <w:pStyle w:val="ListBullet"/>
        <w:jc w:val="both"/>
      </w:pPr>
      <w:r>
        <w:rPr>
          <w:b/>
        </w:rPr>
        <w:t xml:space="preserve">Massimo Di Felice (2009). </w:t>
      </w:r>
      <w:r>
        <w:t>Sociólogo italiano, professor da USP (informação geral). Paisagens pós-urbanas (Annablume).</w:t>
      </w:r>
    </w:p>
    <w:p>
      <w:pPr>
        <w:pStyle w:val="ListBullet"/>
        <w:jc w:val="both"/>
      </w:pPr>
      <w:r>
        <w:rPr>
          <w:b/>
        </w:rPr>
        <w:t xml:space="preserve">Shoshana Zuboff (2021). </w:t>
      </w:r>
      <w:r>
        <w:t>Professora emérita da Harvard Business School (informação geral). A era do capitalismo de vigilância, e-book, citado sem página (n. p.).</w:t>
      </w:r>
    </w:p>
    <w:p>
      <w:pPr>
        <w:pStyle w:val="ListBullet"/>
        <w:jc w:val="both"/>
      </w:pPr>
      <w:r>
        <w:rPr>
          <w:b/>
        </w:rPr>
        <w:t xml:space="preserve">Sergio Amadeu da Silveira (2017). </w:t>
      </w:r>
      <w:r>
        <w:t>Professor da UFABC (informação geral). Tudo sobre tod@s.</w:t>
      </w:r>
    </w:p>
    <w:p>
      <w:pPr>
        <w:pStyle w:val="ListBullet"/>
        <w:jc w:val="both"/>
      </w:pPr>
      <w:r>
        <w:rPr>
          <w:b/>
        </w:rPr>
        <w:t xml:space="preserve">Evgeny Morozov (2018). </w:t>
      </w:r>
      <w:r>
        <w:t>Pesquisador e ensaísta nascido na Bielorrússia (informação geral). Big Tech, tradução de Claudio Marcondes (Ubu).</w:t>
      </w:r>
    </w:p>
    <w:p>
      <w:pPr>
        <w:pStyle w:val="ListBullet"/>
        <w:jc w:val="both"/>
      </w:pPr>
      <w:r>
        <w:rPr>
          <w:b/>
        </w:rPr>
        <w:t xml:space="preserve">Nelson Pretto, Salete Cordeiro e Washington Oliveira (2013). </w:t>
      </w:r>
      <w:r>
        <w:t>Artigo na Educação em Revista. Pretto é professor da UFBA (informação geral).</w:t>
      </w:r>
    </w:p>
    <w:p>
      <w:r>
        <w:rPr>
          <w:b/>
        </w:rPr>
        <w:t xml:space="preserve">Onde está na tese: </w:t>
      </w:r>
      <w:r>
        <w:t>Cap. 3, seções 3.6 e 3.6.1; cap. 6, seções 6.1 e 6.4.2; cap. 1, seção 1.1.</w:t>
      </w:r>
    </w:p>
    <w:p>
      <w:pPr>
        <w:pStyle w:val="Heading3"/>
      </w:pPr>
      <w:r>
        <w:t>Para a arguição</w:t>
      </w:r>
    </w:p>
    <w:p>
      <w:pPr>
        <w:spacing w:after="20"/>
      </w:pPr>
      <w:r>
        <w:rPr>
          <w:b/>
        </w:rPr>
        <w:t>Habitar o digital é outro nome para inclusão digital?</w:t>
      </w:r>
    </w:p>
    <w:p>
      <w:pPr>
        <w:jc w:val="both"/>
      </w:pPr>
      <w:r>
        <w:t>Não é. A formulação vai além do acesso à internet ou da posse de equipamentos: pergunta como o digital atravessa espaços, relações e práticas de um território e que participação se torna possível. Valente (1999, p. 83) já advertia que implantar computadores sem o preparo de professores e da comunidade não traz os benefícios esperados.</w:t>
      </w:r>
    </w:p>
    <w:p>
      <w:pPr>
        <w:spacing w:after="20"/>
      </w:pPr>
      <w:r>
        <w:rPr>
          <w:b/>
        </w:rPr>
        <w:t>Por que plataformas e dados não são categoria de análise?</w:t>
      </w:r>
    </w:p>
    <w:p>
      <w:pPr>
        <w:jc w:val="both"/>
      </w:pPr>
      <w:r>
        <w:t>Por escolha de desenho declarada na RSL: a questão não integra o objeto empírico. Entra como contexto teórico e pelo Eixo 6 da entrevista (cap. 2, seção 2.4.3; cap. 3, seção 3.6.1).</w:t>
      </w:r>
    </w:p>
    <w:p>
      <w:pPr>
        <w:pStyle w:val="Heading2"/>
      </w:pPr>
      <w:r>
        <w:t>Lâmina 16 · Divisor: Metodologia</w:t>
      </w:r>
    </w:p>
    <w:p>
      <w:r>
        <w:rPr>
          <w:b/>
          <w:color w:val="555555"/>
        </w:rPr>
        <w:t xml:space="preserve">Na lâmina: </w:t>
      </w:r>
      <w:r>
        <w:rPr>
          <w:i/>
          <w:color w:val="555555"/>
        </w:rPr>
        <w:t>Faixas com "METODOLOGIA", "Capítulo 4" e "Estudo de caso qualitativo".</w:t>
      </w:r>
    </w:p>
    <w:p>
      <w:pPr>
        <w:pStyle w:val="Heading3"/>
      </w:pPr>
      <w:r>
        <w:t>Explicação</w:t>
      </w:r>
    </w:p>
    <w:p>
      <w:pPr>
        <w:jc w:val="both"/>
      </w:pPr>
      <w:r>
        <w:t>Abre o capítulo 4, "Como se escuta uma política: o desenho metodológico do estudo de caso em Tibau do Sul/RN".</w:t>
      </w:r>
    </w:p>
    <w:p>
      <w:r>
        <w:rPr>
          <w:b/>
        </w:rPr>
        <w:t xml:space="preserve">Onde está na tese: </w:t>
      </w:r>
      <w:r>
        <w:t>Cap. 4.</w:t>
      </w:r>
    </w:p>
    <w:p>
      <w:pPr>
        <w:pStyle w:val="Heading2"/>
      </w:pPr>
      <w:r>
        <w:t>Lâmina 17 · Desenho e participantes</w:t>
      </w:r>
    </w:p>
    <w:p>
      <w:r>
        <w:rPr>
          <w:b/>
          <w:color w:val="555555"/>
        </w:rPr>
        <w:t xml:space="preserve">Na lâmina: </w:t>
      </w:r>
      <w:r>
        <w:rPr>
          <w:i/>
          <w:color w:val="555555"/>
        </w:rPr>
        <w:t>Dois cartões: "Desenho" e "Participantes: 24 + 1".</w:t>
      </w:r>
    </w:p>
    <w:p>
      <w:pPr>
        <w:pStyle w:val="Heading3"/>
      </w:pPr>
      <w:r>
        <w:t>Explicação</w:t>
      </w:r>
    </w:p>
    <w:p>
      <w:pPr>
        <w:jc w:val="both"/>
      </w:pPr>
      <w:r>
        <w:t>A pesquisa é qualitativa, de caráter interpretativo, porque trabalha com sentidos, experiências, valores, crenças e interpretações produzidos num contexto social determinado. Organiza-se como estudo de caso, cuja unidade é a encenação da PNED no contexto da prática da escola. Yin recomenda esse desenho para fenômenos contemporâneos em contexto real quando os limites entre fenômeno e contexto não estão claros, o que corresponde a uma política cuja forma depende da escola e do território. A Secretaria Municipal de Educação participa como dimensão complementar do contexto externo, sem formar um segundo caso.</w:t>
      </w:r>
    </w:p>
    <w:p>
      <w:pPr>
        <w:jc w:val="both"/>
      </w:pPr>
      <w:r>
        <w:t>Não haverá observação de sala de aula. O cotidiano será conhecido pelos relatos, documentos, registros da escola, registro iconográfico e informações sobre condições materiais, e o que for narrado não será tomado pelo que foi observado. Ball, Maguire e Braun adotaram a mesma delimitação: "a prática de sala de aula não era foco do estudo [...] nós temos de confiar nos relatos dos professores nessas questões" (2016, p. 49).</w:t>
      </w:r>
    </w:p>
    <w:p>
      <w:pPr>
        <w:jc w:val="both"/>
      </w:pPr>
      <w:r>
        <w:t>Podem participar 24 profissionais: o diretor, a vice-diretora, a coordenadora pedagógica, quatro do apoio pedagógico, quinze regentes e dois no apoio à recomposição de aula, além do técnico da Secretaria, coordenador de políticas públicas e programas educacionais. A escola tem, em 2026, quinze turmas nos anos iniciais (três por ano; sete de manhã e oito à tarde) e 351 crianças: 62 no 1º ano, 66 no 2º, 68 no 3º, 81 no 4º e 74 no 5º (TIBAU DO SUL, 2026).</w:t>
      </w:r>
    </w:p>
    <w:p>
      <w:pPr>
        <w:pStyle w:val="Heading3"/>
      </w:pPr>
      <w:r>
        <w:t>Conceitos</w:t>
      </w:r>
    </w:p>
    <w:p>
      <w:pPr>
        <w:pStyle w:val="ListBullet"/>
        <w:jc w:val="both"/>
      </w:pPr>
      <w:r>
        <w:rPr>
          <w:b/>
        </w:rPr>
        <w:t xml:space="preserve">Abordagem qualitativa. </w:t>
      </w:r>
      <w:r>
        <w:t>Trabalha com o universo de sentidos, experiências e interpretações dos sujeitos (MINAYO, 2009).</w:t>
      </w:r>
    </w:p>
    <w:p>
      <w:pPr>
        <w:pStyle w:val="ListBullet"/>
        <w:jc w:val="both"/>
      </w:pPr>
      <w:r>
        <w:rPr>
          <w:b/>
        </w:rPr>
        <w:t xml:space="preserve">Estudo de caso. </w:t>
      </w:r>
      <w:r>
        <w:t>Estratégia para fenômenos contemporâneos em contexto real (YIN, 2001), com múltiplas fontes.</w:t>
      </w:r>
    </w:p>
    <w:p>
      <w:pPr>
        <w:pStyle w:val="ListBullet"/>
        <w:jc w:val="both"/>
      </w:pPr>
      <w:r>
        <w:rPr>
          <w:b/>
        </w:rPr>
        <w:t xml:space="preserve">Análise temática reflexiva. </w:t>
      </w:r>
      <w:r>
        <w:t>Braun e Clarke (2006; 2019). Na pesquisa, as fases foram reunidas em três etapas: familiarização; codificação e construção dos temas; interpretação crítica com triangulação. A subjetividade de quem analisa é recurso e precisa ser explicitada, e um tema vale pelo que ajuda a compreender, mais do que pela frequência.</w:t>
      </w:r>
    </w:p>
    <w:p>
      <w:pPr>
        <w:pStyle w:val="ListBullet"/>
        <w:jc w:val="both"/>
      </w:pPr>
      <w:r>
        <w:rPr>
          <w:b/>
        </w:rPr>
        <w:t xml:space="preserve">Proximidade da pesquisadora. </w:t>
      </w:r>
      <w:r>
        <w:t>Pede cuidados próprios: confronto entre fontes, devolutiva individual da síntese de cada depoimento e diário de campo (cap. 4, seções 4.1.1 e 4.1.2).</w:t>
      </w:r>
    </w:p>
    <w:p>
      <w:pPr>
        <w:pStyle w:val="Heading3"/>
      </w:pPr>
      <w:r>
        <w:t>Autores e obras</w:t>
      </w:r>
    </w:p>
    <w:p>
      <w:pPr>
        <w:pStyle w:val="ListBullet"/>
        <w:jc w:val="both"/>
      </w:pPr>
      <w:r>
        <w:rPr>
          <w:b/>
        </w:rPr>
        <w:t xml:space="preserve">Maria Cecília de Souza Minayo (2009). </w:t>
      </w:r>
      <w:r>
        <w:t>Pesquisadora da Fiocruz (informação geral). Pesquisa social: teoria, método e criatividade (Vozes).</w:t>
      </w:r>
    </w:p>
    <w:p>
      <w:pPr>
        <w:pStyle w:val="ListBullet"/>
        <w:jc w:val="both"/>
      </w:pPr>
      <w:r>
        <w:rPr>
          <w:b/>
        </w:rPr>
        <w:t xml:space="preserve">Robert K. Yin (2001). </w:t>
      </w:r>
      <w:r>
        <w:t>Metodólogo estadunidense (informação geral). Estudo de caso: planejamento e métodos (Bookman).</w:t>
      </w:r>
    </w:p>
    <w:p>
      <w:pPr>
        <w:pStyle w:val="ListBullet"/>
        <w:jc w:val="both"/>
      </w:pPr>
      <w:r>
        <w:rPr>
          <w:b/>
        </w:rPr>
        <w:t xml:space="preserve">Virginia Braun e Victoria Clarke (2006; 2019). </w:t>
      </w:r>
      <w:r>
        <w:t>Psicólogas, autoras da análise temática e de sua versão reflexiva (informação geral).</w:t>
      </w:r>
    </w:p>
    <w:p>
      <w:r>
        <w:rPr>
          <w:b/>
        </w:rPr>
        <w:t xml:space="preserve">Onde está na tese: </w:t>
      </w:r>
      <w:r>
        <w:t>Cap. 4, seções 4.1 (posicionamento, abordagem, estudo de caso), 4.4.1 (participantes) e 4.5.1 (análise).</w:t>
      </w:r>
    </w:p>
    <w:p>
      <w:pPr>
        <w:pStyle w:val="Heading3"/>
      </w:pPr>
      <w:r>
        <w:t>Para a arguição</w:t>
      </w:r>
    </w:p>
    <w:p>
      <w:pPr>
        <w:spacing w:after="20"/>
      </w:pPr>
      <w:r>
        <w:rPr>
          <w:b/>
        </w:rPr>
        <w:t>Como controlar a proximidade com a rede?</w:t>
      </w:r>
    </w:p>
    <w:p>
      <w:pPr>
        <w:jc w:val="both"/>
      </w:pPr>
      <w:r>
        <w:t>Com confronto sistemático entre fontes documentais e orais, devolutiva a cada participante, diário de campo e a regra de não deduzir da trajetória da pesquisadora dados que precisam vir das fontes (cap. 4, seção 4.1).</w:t>
      </w:r>
    </w:p>
    <w:p>
      <w:pPr>
        <w:pStyle w:val="Heading2"/>
      </w:pPr>
      <w:r>
        <w:t>Lâmina 18 · Construção dos dados</w:t>
      </w:r>
    </w:p>
    <w:p>
      <w:r>
        <w:rPr>
          <w:b/>
          <w:color w:val="555555"/>
        </w:rPr>
        <w:t xml:space="preserve">Na lâmina: </w:t>
      </w:r>
      <w:r>
        <w:rPr>
          <w:i/>
          <w:color w:val="555555"/>
        </w:rPr>
        <w:t>Seis cartões: os cinco movimentos e "Ética e campo". O cartão de documentos informa que eles já foram solicitados à direção e à Secretaria.</w:t>
      </w:r>
    </w:p>
    <w:p>
      <w:pPr>
        <w:pStyle w:val="Heading3"/>
      </w:pPr>
      <w:r>
        <w:t>Explicação</w:t>
      </w:r>
    </w:p>
    <w:p>
      <w:pPr>
        <w:jc w:val="both"/>
      </w:pPr>
      <w:r>
        <w:t>Os dados são construídos em cinco movimentos, cada um acrescentando uma fonte. O primeiro é a análise documental, no plano nacional (a lei, a Resolução CNE/CEB nº 2/2025, os documentos curriculares) e no plano municipal e escolar (documentos da Secretaria, registros da PIEC, Projeto Político-Pedagógico, planos de aula, atas, registros de formação). A leitura é feita em diálogo com a ACP, por uma matriz orientada pelos objetivos. Os documentos da escola já foram solicitados à direção, e os municipais, ao técnico da Secretaria.</w:t>
      </w:r>
    </w:p>
    <w:p>
      <w:pPr>
        <w:jc w:val="both"/>
      </w:pPr>
      <w:r>
        <w:t>O segundo é o registro iconográfico: 38 imagens, da escola e do acervo do Museu Digital de Pipa, lidas como evidência da configuração material visível, sem valor de prova sobre práticas ou intenções. O terceiro é o questionário de perfil e percepções, aplicado presencialmente em formulário digital, com função descritiva. O quarto são as entrevistas semiestruturadas, de 60 a 90 minutos, com seis eixos. O quinto reúne as fontes na análise e devolve os resultados.</w:t>
      </w:r>
    </w:p>
    <w:p>
      <w:pPr>
        <w:jc w:val="both"/>
      </w:pPr>
      <w:r>
        <w:t>O campo restante ocupa dez semanas depois da aprovação da emenda: duas de entrada formal e TCLE, duas de questionários, quatro de entrevistas e documentos, duas de devolutivas parciais. A análise usa o ATLAS.ti.</w:t>
      </w:r>
    </w:p>
    <w:p>
      <w:pPr>
        <w:pStyle w:val="Heading3"/>
      </w:pPr>
      <w:r>
        <w:t>Conceitos</w:t>
      </w:r>
    </w:p>
    <w:p>
      <w:pPr>
        <w:pStyle w:val="ListBullet"/>
        <w:jc w:val="both"/>
      </w:pPr>
      <w:r>
        <w:rPr>
          <w:b/>
        </w:rPr>
        <w:t xml:space="preserve">Lentes sensibilizadoras. </w:t>
      </w:r>
      <w:r>
        <w:t>Os conceitos orientam a primeira leitura dos dados sem se converter em categorias fechadas às quais os dados devam caber (cap. 4, seção 4.5.1).</w:t>
      </w:r>
    </w:p>
    <w:p>
      <w:pPr>
        <w:pStyle w:val="ListBullet"/>
        <w:jc w:val="both"/>
      </w:pPr>
      <w:r>
        <w:rPr>
          <w:b/>
        </w:rPr>
        <w:t xml:space="preserve">Seis eixos da entrevista. </w:t>
      </w:r>
      <w:r>
        <w:t>1. trajetória e culturas profissionais; 2. interpretação da política; 3. tradução, com a dimensão material e o território; 4. performatividade (registros, metas, cobranças); 5. formas de atuação; 6. habitar o digital e direitos da criança (cap. 4, seção 4.3.1).</w:t>
      </w:r>
    </w:p>
    <w:p>
      <w:pPr>
        <w:pStyle w:val="ListBullet"/>
        <w:jc w:val="both"/>
      </w:pPr>
      <w:r>
        <w:rPr>
          <w:b/>
        </w:rPr>
        <w:t xml:space="preserve">Triangulação. </w:t>
      </w:r>
      <w:r>
        <w:t>Cada fonte responde a uma pergunta distinta: o registro iconográfico documenta condições; os documentos, o que a escola formaliza; as entrevistas, a experiência narrada. Quando fala e documento não coincidem, a discrepância é lida como indício das tensões do trabalho escolar.</w:t>
      </w:r>
    </w:p>
    <w:p>
      <w:pPr>
        <w:pStyle w:val="ListBullet"/>
        <w:jc w:val="both"/>
      </w:pPr>
      <w:r>
        <w:rPr>
          <w:b/>
        </w:rPr>
        <w:t xml:space="preserve">Ética. </w:t>
      </w:r>
      <w:r>
        <w:t>Emenda ao protocolo já aprovado no CEP; TCLE; pseudônimos escolhidos pelos participantes; Resoluções CNS nº 466/2012 e nº 510/2016, esta específica para Ciências Humanas e Sociais; rostos de crianças não expostos.</w:t>
      </w:r>
    </w:p>
    <w:p>
      <w:pPr>
        <w:pStyle w:val="Heading3"/>
      </w:pPr>
      <w:r>
        <w:t>Autores e obras</w:t>
      </w:r>
    </w:p>
    <w:p>
      <w:pPr>
        <w:pStyle w:val="ListBullet"/>
        <w:jc w:val="both"/>
      </w:pPr>
      <w:r>
        <w:rPr>
          <w:b/>
        </w:rPr>
        <w:t xml:space="preserve">Mainardes (2006). </w:t>
      </w:r>
      <w:r>
        <w:t>Questões analíticas para a leitura documental.</w:t>
      </w:r>
    </w:p>
    <w:p>
      <w:pPr>
        <w:pStyle w:val="ListBullet"/>
        <w:jc w:val="both"/>
      </w:pPr>
      <w:r>
        <w:rPr>
          <w:b/>
        </w:rPr>
        <w:t xml:space="preserve">Braun e Clarke (2006; 2019). </w:t>
      </w:r>
      <w:r>
        <w:t>Análise temática reflexiva.</w:t>
      </w:r>
    </w:p>
    <w:p>
      <w:pPr>
        <w:pStyle w:val="ListBullet"/>
        <w:jc w:val="both"/>
      </w:pPr>
      <w:r>
        <w:rPr>
          <w:b/>
        </w:rPr>
        <w:t xml:space="preserve">BRASIL (2012; 2016). </w:t>
      </w:r>
      <w:r>
        <w:t>Resoluções do Conselho Nacional de Saúde.</w:t>
      </w:r>
    </w:p>
    <w:p>
      <w:r>
        <w:rPr>
          <w:b/>
        </w:rPr>
        <w:t xml:space="preserve">Onde está na tese: </w:t>
      </w:r>
      <w:r>
        <w:t>Cap. 4, seções 4.4.2 a 4.4.6, 4.5.1, 4.5.2 e 4.5.4; Apêndices D (questionário) e E (roteiros).</w:t>
      </w:r>
    </w:p>
    <w:p>
      <w:pPr>
        <w:pStyle w:val="Heading3"/>
      </w:pPr>
      <w:r>
        <w:t>Para a arguição</w:t>
      </w:r>
    </w:p>
    <w:p>
      <w:pPr>
        <w:spacing w:after="20"/>
      </w:pPr>
      <w:r>
        <w:rPr>
          <w:b/>
        </w:rPr>
        <w:t>Para que serve o questionário, se não há generalização estatística?</w:t>
      </w:r>
    </w:p>
    <w:p>
      <w:pPr>
        <w:jc w:val="both"/>
      </w:pPr>
      <w:r>
        <w:t>Para caracterizar o grupo (formação, experiência, relação com as tecnologias, condições de trabalho, primeiras percepções) e reunir elementos que ajudem a compreender as entrevistas (cap. 4, seção 4.4.5).</w:t>
      </w:r>
    </w:p>
    <w:p>
      <w:pPr>
        <w:pStyle w:val="Heading2"/>
      </w:pPr>
      <w:r>
        <w:t>Lâmina 19 · Divisor: Agenda global e PNED</w:t>
      </w:r>
    </w:p>
    <w:p>
      <w:r>
        <w:rPr>
          <w:b/>
          <w:color w:val="555555"/>
        </w:rPr>
        <w:t xml:space="preserve">Na lâmina: </w:t>
      </w:r>
      <w:r>
        <w:rPr>
          <w:i/>
          <w:color w:val="555555"/>
        </w:rPr>
        <w:t>Faixas com "AGENDA GLOBAL E PNED", "Capítulo 5" e "A produção do texto da política".</w:t>
      </w:r>
    </w:p>
    <w:p>
      <w:pPr>
        <w:pStyle w:val="Heading3"/>
      </w:pPr>
      <w:r>
        <w:t>Explicação</w:t>
      </w:r>
    </w:p>
    <w:p>
      <w:pPr>
        <w:jc w:val="both"/>
      </w:pPr>
      <w:r>
        <w:t>Abre o capítulo 5, "A produção do texto da política: da agenda internacional à PNED", que examina os contextos de influência e de produção do texto.</w:t>
      </w:r>
    </w:p>
    <w:p>
      <w:r>
        <w:rPr>
          <w:b/>
        </w:rPr>
        <w:t xml:space="preserve">Onde está na tese: </w:t>
      </w:r>
      <w:r>
        <w:t>Cap. 5.</w:t>
      </w:r>
    </w:p>
    <w:p>
      <w:pPr>
        <w:pStyle w:val="Heading2"/>
      </w:pPr>
      <w:r>
        <w:t>Lâmina 20 · O que outros territórios nos ensinam</w:t>
      </w:r>
    </w:p>
    <w:p>
      <w:r>
        <w:rPr>
          <w:b/>
          <w:color w:val="555555"/>
        </w:rPr>
        <w:t xml:space="preserve">Na lâmina: </w:t>
      </w:r>
      <w:r>
        <w:rPr>
          <w:i/>
          <w:color w:val="555555"/>
        </w:rPr>
        <w:t>Mapa das Américas e da Europa com 20 experiências numeradas e coloridas pela categoria principal, e a lista com a política e o foco de cada uma.</w:t>
      </w:r>
    </w:p>
    <w:p>
      <w:pPr>
        <w:pStyle w:val="Heading3"/>
      </w:pPr>
      <w:r>
        <w:t>Explicação</w:t>
      </w:r>
    </w:p>
    <w:p>
      <w:pPr>
        <w:jc w:val="both"/>
      </w:pPr>
      <w:r>
        <w:t>O capítulo 5 começa pelas agendas internacionais. A UNESCO (2023) insiste nas condições de incorporação das tecnologias e afirma que "a tecnologia digital não deve substituir, mas, em vez disso, complementar a interação presencial com os professores" (p. 24); registra também que uma em cada quatro escolas primárias do mundo não dispõe de eletricidade (p. 126). A OCDE (2015) observa que, "mesmo onde os computadores são utilizados em sala de aula, seu impacto sobre o desempenho dos estudantes é, na melhor das hipóteses, misto" (p. 3). O Banco Mundial (2020, p. 12) começa pela finalidade: "Se a tecnologia é a resposta, qual é a pergunta?". Com diferenças, os três deslocam o foco da presença dos recursos para as condições, os usos e as finalidades.</w:t>
      </w:r>
    </w:p>
    <w:p>
      <w:pPr>
        <w:jc w:val="both"/>
      </w:pPr>
      <w:r>
        <w:t>A perspectiva comparada mostra como uma mesma diretriz muda de forma ao encontrar outro sistema de ensino, outras instituições e outro território. Na Europa, a União Europeia formula referenciais comuns e cada país os converte em estratégia nacional. Nas Américas, sem instância supranacional, aparece a variedade de arranjos de cada país.</w:t>
      </w:r>
    </w:p>
    <w:p>
      <w:pPr>
        <w:jc w:val="both"/>
      </w:pPr>
      <w:r>
        <w:t>A cor de cada país indica a categoria que a experiência mais informa. Alguns exemplos do foco: nos EUA, o National Educational Technology Plan (2024) decompõe a desigualdade digital em acesso, desenho e uso; o Plan Ceibal uruguaio universalizou o acesso e atravessou governos, sem resolver o baixo uso pedagógico; o Conectar Igualdad argentino teve três reversões normativas em quinze anos; a Finlândia atribui ao organizador do ensino, em regra o município, a decisão sobre o uso das tecnologias, cadeia de tradução em duas etapas parecida com a que a pesquisa acompanha.</w:t>
      </w:r>
    </w:p>
    <w:p>
      <w:pPr>
        <w:pStyle w:val="Heading3"/>
      </w:pPr>
      <w:r>
        <w:t>Conceitos</w:t>
      </w:r>
    </w:p>
    <w:p>
      <w:pPr>
        <w:pStyle w:val="ListBullet"/>
        <w:jc w:val="both"/>
      </w:pPr>
      <w:r>
        <w:rPr>
          <w:b/>
        </w:rPr>
        <w:t xml:space="preserve">Perspectiva comparada. </w:t>
      </w:r>
      <w:r>
        <w:t>Leitura de onze conjuntos documentais europeus e nove americanos, sintetizados nos Quadros 10 e 11, com a política central, o modo como encontra o contexto, a principal tensão e a contribuição para a tese.</w:t>
      </w:r>
    </w:p>
    <w:p>
      <w:pPr>
        <w:pStyle w:val="ListBullet"/>
        <w:jc w:val="both"/>
      </w:pPr>
      <w:r>
        <w:rPr>
          <w:b/>
        </w:rPr>
        <w:t xml:space="preserve">Fossos de acesso, desenho e uso. </w:t>
      </w:r>
      <w:r>
        <w:t>Distinção do NETP estadunidense, que amplia a análise da desigualdade digital para além da disponibilidade de dispositivos.</w:t>
      </w:r>
    </w:p>
    <w:p>
      <w:pPr>
        <w:pStyle w:val="ListBullet"/>
        <w:jc w:val="both"/>
      </w:pPr>
      <w:r>
        <w:rPr>
          <w:b/>
        </w:rPr>
        <w:t xml:space="preserve">Gerações de política. </w:t>
      </w:r>
      <w:r>
        <w:t>As iniciativas de primeira geração se concentravam em informatização e acesso material; as recentes se organizam em torno de competências, cidadania digital, formação docente e governança de ecossistemas (cap. 5, seção 5.2.1).</w:t>
      </w:r>
    </w:p>
    <w:p>
      <w:pPr>
        <w:pStyle w:val="Heading3"/>
      </w:pPr>
      <w:r>
        <w:t>Autores e obras</w:t>
      </w:r>
    </w:p>
    <w:p>
      <w:pPr>
        <w:pStyle w:val="ListBullet"/>
        <w:jc w:val="both"/>
      </w:pPr>
      <w:r>
        <w:rPr>
          <w:b/>
        </w:rPr>
        <w:t xml:space="preserve">UNESCO (2023). </w:t>
      </w:r>
      <w:r>
        <w:t>Relatório de monitoramento global da educação 2023: tecnologia na educação.</w:t>
      </w:r>
    </w:p>
    <w:p>
      <w:pPr>
        <w:pStyle w:val="ListBullet"/>
        <w:jc w:val="both"/>
      </w:pPr>
      <w:r>
        <w:rPr>
          <w:b/>
        </w:rPr>
        <w:t xml:space="preserve">OCDE (2015). </w:t>
      </w:r>
      <w:r>
        <w:t>Students, computers and learning: making the connection.</w:t>
      </w:r>
    </w:p>
    <w:p>
      <w:pPr>
        <w:pStyle w:val="ListBullet"/>
        <w:jc w:val="both"/>
      </w:pPr>
      <w:r>
        <w:rPr>
          <w:b/>
        </w:rPr>
        <w:t xml:space="preserve">Banco Mundial (2020). </w:t>
      </w:r>
      <w:r>
        <w:t>Reimagining Human Connections.</w:t>
      </w:r>
    </w:p>
    <w:p>
      <w:pPr>
        <w:pStyle w:val="ListBullet"/>
        <w:jc w:val="both"/>
      </w:pPr>
      <w:r>
        <w:rPr>
          <w:b/>
        </w:rPr>
        <w:t xml:space="preserve">Documentos nacionais. </w:t>
      </w:r>
      <w:r>
        <w:t>DigComp, DigCompEdu e BIK+ (União Europeia); PTE e INCoDe.2030 (Portugal); Marco de Referência da Competência Digital Docente (Espanha); Digital Strategy for Schools (Irlanda); Currículo Nacional de 2014 (Finlândia); Stratégie du numérique 2023-2027 (França); DigitalPakt Schule (Alemanha); PNSD (Itália); revisão da OCDE (Países Baixos); DfE 2019 (Reino Unido); NETP 2024 (EUA); BC Digital Literacy Framework (Canadá); Plan Ceibal (Uruguai); Una Laptop por Niño (Peru); Red Enlaces (Chile); PRONIE MEP-FOD (Costa Rica); Computadores para Educar (Colômbia); @prende 2.0 (México); Conectar Igualdad (Argentina).</w:t>
      </w:r>
    </w:p>
    <w:p>
      <w:r>
        <w:rPr>
          <w:b/>
        </w:rPr>
        <w:t xml:space="preserve">Onde está na tese: </w:t>
      </w:r>
      <w:r>
        <w:t>Cap. 5, seções 5.1, 5.2.1 (Europa, Quadro 10) e 5.2.2 (Américas, Quadro 11).</w:t>
      </w:r>
    </w:p>
    <w:p>
      <w:pPr>
        <w:pStyle w:val="Heading3"/>
      </w:pPr>
      <w:r>
        <w:t>Para a arguição</w:t>
      </w:r>
    </w:p>
    <w:p>
      <w:pPr>
        <w:spacing w:after="20"/>
      </w:pPr>
      <w:r>
        <w:rPr>
          <w:b/>
        </w:rPr>
        <w:t>Por que comparar com outros países, se o objeto é uma escola?</w:t>
      </w:r>
    </w:p>
    <w:p>
      <w:pPr>
        <w:jc w:val="both"/>
      </w:pPr>
      <w:r>
        <w:t>Porque o contexto de influência circula entre países, e a comparação ajuda a formular as perguntas do campo e as categorias sensibilizadoras. Nenhuma experiência descreve Pipa; elas ajudam a perguntar o que acontece quando parte das condições não chega.</w:t>
      </w:r>
    </w:p>
    <w:p>
      <w:pPr>
        <w:pStyle w:val="Heading2"/>
      </w:pPr>
      <w:r>
        <w:t>Lâmina 21 · O que a comparação traz para a tese</w:t>
      </w:r>
    </w:p>
    <w:p>
      <w:r>
        <w:rPr>
          <w:b/>
          <w:color w:val="555555"/>
        </w:rPr>
        <w:t xml:space="preserve">Na lâmina: </w:t>
      </w:r>
      <w:r>
        <w:rPr>
          <w:i/>
          <w:color w:val="555555"/>
        </w:rPr>
        <w:t>Cinco cartões nas cores do mapa, cada um com "O que mostram" e "No campo", e a pergunta final.</w:t>
      </w:r>
    </w:p>
    <w:p>
      <w:pPr>
        <w:pStyle w:val="Heading3"/>
      </w:pPr>
      <w:r>
        <w:t>Explicação</w:t>
      </w:r>
    </w:p>
    <w:p>
      <w:pPr>
        <w:jc w:val="both"/>
      </w:pPr>
      <w:r>
        <w:t>Das recorrências e das diferenças entre os dois blocos saem cinco categorias sensibilizadoras, registradas no Quadro 12. Elas são uma construção interpretativa, que pode ser confirmada, tensionada, ampliada ou deslocada pelo material do campo. Cada uma traz uma pergunta para Pipa.</w:t>
      </w:r>
    </w:p>
    <w:p>
      <w:pPr>
        <w:jc w:val="both"/>
      </w:pPr>
      <w:r>
        <w:t>A governança mostra que coordenar escalas faz parte da política (Alemanha, Finlândia, União Europeia) e abre a análise da articulação entre União, estado e município. A formação mostra que a mediação dos profissionais é condição do uso e leva à pergunta sobre que formação chegou à escola e quando. A infraestrutura é condição relevante e insuficiente: equalizar o acesso não equalizou o uso (Itália, Peru). A continuidade institucional separa trajetórias, como o Ceibal, que atravessou governos, e a Argentina, com três reversões normativas. A cultura digital liga a educação digital à cidadania e à proteção das crianças (França, BIK+) e dialoga com o inciso III do eixo.</w:t>
      </w:r>
    </w:p>
    <w:p>
      <w:pPr>
        <w:jc w:val="both"/>
      </w:pPr>
      <w:r>
        <w:t>A pergunta final, que nenhum caso responde, organiza a passagem para o campo: o que acontece quando a PNED chega a uma escola onde parte das condições que esses países apontam como necessárias não está garantida?</w:t>
      </w:r>
    </w:p>
    <w:p>
      <w:pPr>
        <w:pStyle w:val="Heading3"/>
      </w:pPr>
      <w:r>
        <w:t>Conceitos</w:t>
      </w:r>
    </w:p>
    <w:p>
      <w:pPr>
        <w:pStyle w:val="ListBullet"/>
        <w:jc w:val="both"/>
      </w:pPr>
      <w:r>
        <w:rPr>
          <w:b/>
        </w:rPr>
        <w:t xml:space="preserve">Categorias sensibilizadoras. </w:t>
      </w:r>
      <w:r>
        <w:t>Lentes heurísticas abertas ao material empírico, sem funcionar como padrão ao qual a realidade local deva se ajustar (cap. 5, seção 5.2.3).</w:t>
      </w:r>
    </w:p>
    <w:p>
      <w:pPr>
        <w:pStyle w:val="ListBullet"/>
        <w:jc w:val="both"/>
      </w:pPr>
      <w:r>
        <w:rPr>
          <w:b/>
        </w:rPr>
        <w:t xml:space="preserve">Relação com o capítulo 6. </w:t>
      </w:r>
      <w:r>
        <w:t>Quatro das cinco categorias são operacionalizadas no cap. 6 como dimensões do território (tecnológica, institucional, histórica e socioeconômica). A formação fica para o cap. 7, porque depende de questionário e entrevistas (cap. 6, seção 6.4).</w:t>
      </w:r>
    </w:p>
    <w:p>
      <w:pPr>
        <w:pStyle w:val="Heading3"/>
      </w:pPr>
      <w:r>
        <w:t>Autores e obras</w:t>
      </w:r>
    </w:p>
    <w:p>
      <w:pPr>
        <w:pStyle w:val="ListBullet"/>
        <w:jc w:val="both"/>
      </w:pPr>
      <w:r>
        <w:rPr>
          <w:b/>
        </w:rPr>
        <w:t xml:space="preserve">Quadro 12 do cap. 5. </w:t>
      </w:r>
      <w:r>
        <w:t>Síntese própria, construída a partir dos Quadros 10 e 11.</w:t>
      </w:r>
    </w:p>
    <w:p>
      <w:r>
        <w:rPr>
          <w:b/>
        </w:rPr>
        <w:t xml:space="preserve">Onde está na tese: </w:t>
      </w:r>
      <w:r>
        <w:t>Cap. 5, seção 5.2.3 e Quadro 12; cap. 6, seção 6.4 e Quadro 17.</w:t>
      </w:r>
    </w:p>
    <w:p>
      <w:pPr>
        <w:pStyle w:val="Heading3"/>
      </w:pPr>
      <w:r>
        <w:t>Para a arguição</w:t>
      </w:r>
    </w:p>
    <w:p>
      <w:pPr>
        <w:spacing w:after="20"/>
      </w:pPr>
      <w:r>
        <w:rPr>
          <w:b/>
        </w:rPr>
        <w:t>As categorias são padrões a confirmar?</w:t>
      </w:r>
    </w:p>
    <w:p>
      <w:pPr>
        <w:jc w:val="both"/>
      </w:pPr>
      <w:r>
        <w:t>Não são. Funcionam como lentes; se a realidade local fosse ajustada a elas, seria mais difícil reconhecer o que o campo traz de próprio (cap. 5, seção 5.2.3).</w:t>
      </w:r>
    </w:p>
    <w:p>
      <w:pPr>
        <w:pStyle w:val="Heading2"/>
      </w:pPr>
      <w:r>
        <w:t>Lâmina 22 · A PNED e o vazio material</w:t>
      </w:r>
    </w:p>
    <w:p>
      <w:r>
        <w:rPr>
          <w:b/>
          <w:color w:val="555555"/>
        </w:rPr>
        <w:t xml:space="preserve">Na lâmina: </w:t>
      </w:r>
      <w:r>
        <w:rPr>
          <w:i/>
          <w:color w:val="555555"/>
        </w:rPr>
        <w:t>Dois cartões: "O que a lei exige" e "Com que meios".</w:t>
      </w:r>
    </w:p>
    <w:p>
      <w:pPr>
        <w:pStyle w:val="Heading3"/>
      </w:pPr>
      <w:r>
        <w:t>Explicação</w:t>
      </w:r>
    </w:p>
    <w:p>
      <w:pPr>
        <w:jc w:val="both"/>
      </w:pPr>
      <w:r>
        <w:t>A lâmina expõe o ponto que o capítulo 5 considera o mais frágil da lei. De um lado, a exigência: desde a derrubada do veto, a educação digital é componente curricular obrigatório do ensino fundamental, e a Resolução CNE/CEB nº 2/2025 marcou a implementação para 2026 (art. 36). A formação de professores, porém, aparece apenas como ação de promoção, sem responsáveis, prazos, carga horária ou custeio definidos no próprio dispositivo (art. 3º, § 1º, IX e X).</w:t>
      </w:r>
    </w:p>
    <w:p>
      <w:pPr>
        <w:jc w:val="both"/>
      </w:pPr>
      <w:r>
        <w:t>De outro lado, os meios. A PNED se define como instância de articulação de políticas já existentes (art. 1º, § 3º). O eixo de inclusão digital, onde está a conectividade das escolas, deve ser desenvolvido "dentro dos limites orçamentários e no âmbito de competência de cada órgão governamental envolvido" (art. 2º). O art. 11 indica dotações dos entes, doações, Fust e Funttel, e nenhuma dessas fontes é fundo próprio nem chega ao município por obrigação. O Fust, além disso, perdeu em 2020 a reserva mínima para a educação.</w:t>
      </w:r>
    </w:p>
    <w:p>
      <w:pPr>
        <w:jc w:val="both"/>
      </w:pPr>
      <w:r>
        <w:t>Numa rede pequena, esse desenho abre espaço para o vazio material: a exigência tem data, e os meios dependem da capacidade de cada rede. A falta chega à sala de aula, onde pode caber à professora decidir se uma atividade será desplugada ou feita no próprio celular. A tese trata isso como proposição a verificar e precisa separar o desenho da lei da capacidade fiscal do município, com dados de receita e gasto em educação ainda não reunidos.</w:t>
      </w:r>
    </w:p>
    <w:p>
      <w:pPr>
        <w:jc w:val="both"/>
      </w:pPr>
      <w:r>
        <w:t>A lâmina também se apoia na trajetória brasileira (seção 5.3): EDUCOM, FORMAR e CIEd, PRONINFE, ProInfo, PROUCA, PIEC, BNCC, ENEC e, por fim, a PNED. A experiência alemã acrescenta uma advertência: nem um fundo federal vinculado, como o DigitalPakt Schule, garante execução homogênea entre os entes.</w:t>
      </w:r>
    </w:p>
    <w:p>
      <w:pPr>
        <w:pStyle w:val="Heading3"/>
      </w:pPr>
      <w:r>
        <w:t>Conceitos</w:t>
      </w:r>
    </w:p>
    <w:p>
      <w:pPr>
        <w:pStyle w:val="ListBullet"/>
        <w:jc w:val="both"/>
      </w:pPr>
      <w:r>
        <w:rPr>
          <w:b/>
        </w:rPr>
        <w:t xml:space="preserve">Vazio material. </w:t>
      </w:r>
      <w:r>
        <w:t>Formulação da tese para a situação criada quando a lei declara o direito e o dever e deixa a chegada dos meios à escola na dependência da capacidade de cada ente, sem mecanismo federativo obrigatório de financiamento (cap. 5, seção 5.5; cap. 1, seção 1.2).</w:t>
      </w:r>
    </w:p>
    <w:p>
      <w:pPr>
        <w:pStyle w:val="ListBullet"/>
        <w:jc w:val="both"/>
      </w:pPr>
      <w:r>
        <w:rPr>
          <w:b/>
        </w:rPr>
        <w:t xml:space="preserve">Instância de articulação. </w:t>
      </w:r>
      <w:r>
        <w:t>A PNED não substitui outras políticas; articula as de infraestrutura e conectividade já existentes (art. 1º, § 3º).</w:t>
      </w:r>
    </w:p>
    <w:p>
      <w:pPr>
        <w:pStyle w:val="ListBullet"/>
        <w:jc w:val="both"/>
      </w:pPr>
      <w:r>
        <w:rPr>
          <w:b/>
        </w:rPr>
        <w:t xml:space="preserve">Prioridade aos vulneráveis. </w:t>
      </w:r>
      <w:r>
        <w:t>O art. 1º prioriza as populações mais vulneráveis. A tese usa isso como critério: se a política é delas, as redes com menos recursos deveriam ser as primeiras a receber os meios (cap. 5, seção 5.6).</w:t>
      </w:r>
    </w:p>
    <w:p>
      <w:pPr>
        <w:pStyle w:val="Heading3"/>
      </w:pPr>
      <w:r>
        <w:t>Autores e obras</w:t>
      </w:r>
    </w:p>
    <w:p>
      <w:pPr>
        <w:pStyle w:val="ListBullet"/>
        <w:jc w:val="both"/>
      </w:pPr>
      <w:r>
        <w:rPr>
          <w:b/>
        </w:rPr>
        <w:t xml:space="preserve">BRASIL (2023). </w:t>
      </w:r>
      <w:r>
        <w:t>Lei nº 14.533/2023, arts. 1º, 2º, 3º e 11.</w:t>
      </w:r>
    </w:p>
    <w:p>
      <w:pPr>
        <w:pStyle w:val="ListBullet"/>
        <w:jc w:val="both"/>
      </w:pPr>
      <w:r>
        <w:rPr>
          <w:b/>
        </w:rPr>
        <w:t xml:space="preserve">BRASIL (2025a). </w:t>
      </w:r>
      <w:r>
        <w:t>Resolução CNE/CEB nº 2/2025, art. 36.</w:t>
      </w:r>
    </w:p>
    <w:p>
      <w:pPr>
        <w:pStyle w:val="ListBullet"/>
        <w:jc w:val="both"/>
      </w:pPr>
      <w:r>
        <w:rPr>
          <w:b/>
        </w:rPr>
        <w:t xml:space="preserve">Mainardes (2006, Anexo 1). </w:t>
      </w:r>
      <w:r>
        <w:t>Questões analíticas para o contexto de produção do texto, retomadas no fim da seção 5.5.</w:t>
      </w:r>
    </w:p>
    <w:p>
      <w:r>
        <w:rPr>
          <w:b/>
        </w:rPr>
        <w:t xml:space="preserve">Onde está na tese: </w:t>
      </w:r>
      <w:r>
        <w:t>Cap. 5, seções 5.3, 5.4, 5.5, 5.5.1 e 5.6; cap. 1, seção 1.2 (problematização); cap. 4, seção 4.3.1.</w:t>
      </w:r>
    </w:p>
    <w:p>
      <w:pPr>
        <w:pStyle w:val="Heading3"/>
      </w:pPr>
      <w:r>
        <w:t>Para a arguição</w:t>
      </w:r>
    </w:p>
    <w:p>
      <w:pPr>
        <w:spacing w:after="20"/>
      </w:pPr>
      <w:r>
        <w:rPr>
          <w:b/>
        </w:rPr>
        <w:t>Como separar o desenho da lei da capacidade fiscal do município?</w:t>
      </w:r>
    </w:p>
    <w:p>
      <w:pPr>
        <w:jc w:val="both"/>
      </w:pPr>
      <w:r>
        <w:t>Com a receita de Tibau do Sul e o gasto municipal em educação (Siconfi/Finbra), ainda não reunidos. Um município com boa arrecadação e sem meios nas salas indica situação diferente da de um município sem recursos (cap. 5, seção 5.5).</w:t>
      </w:r>
    </w:p>
    <w:p>
      <w:pPr>
        <w:pStyle w:val="Heading2"/>
      </w:pPr>
      <w:r>
        <w:t>Lâmina 23 · Divisor: Território e escola</w:t>
      </w:r>
    </w:p>
    <w:p>
      <w:r>
        <w:rPr>
          <w:b/>
          <w:color w:val="555555"/>
        </w:rPr>
        <w:t xml:space="preserve">Na lâmina: </w:t>
      </w:r>
      <w:r>
        <w:rPr>
          <w:i/>
          <w:color w:val="555555"/>
        </w:rPr>
        <w:t>Faixas com "TERRITÓRIO E ESCOLA", "Capítulo 6" e "Pipa como contexto da prática".</w:t>
      </w:r>
    </w:p>
    <w:p>
      <w:pPr>
        <w:pStyle w:val="Heading3"/>
      </w:pPr>
      <w:r>
        <w:t>Explicação</w:t>
      </w:r>
    </w:p>
    <w:p>
      <w:pPr>
        <w:jc w:val="both"/>
      </w:pPr>
      <w:r>
        <w:t>Abre o capítulo 6, "Onde a política desembarca: o território de Pipa como contexto da prática da educação digital", que dá materialidade às dimensões situacional e material do contexto.</w:t>
      </w:r>
    </w:p>
    <w:p>
      <w:r>
        <w:rPr>
          <w:b/>
        </w:rPr>
        <w:t xml:space="preserve">Onde está na tese: </w:t>
      </w:r>
      <w:r>
        <w:t>Cap. 6.</w:t>
      </w:r>
    </w:p>
    <w:p>
      <w:pPr>
        <w:pStyle w:val="Heading2"/>
      </w:pPr>
      <w:r>
        <w:t>Lâmina 24 · Pipa</w:t>
      </w:r>
    </w:p>
    <w:p>
      <w:r>
        <w:rPr>
          <w:b/>
          <w:color w:val="555555"/>
        </w:rPr>
        <w:t xml:space="preserve">Na lâmina: </w:t>
      </w:r>
      <w:r>
        <w:rPr>
          <w:i/>
          <w:color w:val="555555"/>
        </w:rPr>
        <w:t>Três fotografias (construção artesanal de embarcação, surfistas em abril de 1991 e vista aérea atual), com texto sobre a transformação do distrito.</w:t>
      </w:r>
    </w:p>
    <w:p>
      <w:pPr>
        <w:pStyle w:val="Heading3"/>
      </w:pPr>
      <w:r>
        <w:t>Explicação</w:t>
      </w:r>
    </w:p>
    <w:p>
      <w:pPr>
        <w:jc w:val="both"/>
      </w:pPr>
      <w:r>
        <w:t>A lâmina resume a seção 6.1, "De aldeia de pescadores a polo turístico". Na década de 1970, Pipa era uma comunidade agrícola e pesqueira, sem energia elétrica, água encanada e boas vias de acesso, que já recebia veranistas da região. A partir de meados daquela década chegaram os surfistas e, com a divulgação mais intensa no início dos anos 1990, turistas de várias partes do mundo (AIRES, 2012, p. 80-82). Casas e terrenos de nativos foram vendidos, trocados ou alugados a veranistas, surfistas e estrangeiros (p. 79-80, 84), e os relatos incluem trabalhadoras vindas de localidades vizinhas para os serviços do turismo (p. 16, 87).</w:t>
      </w:r>
    </w:p>
    <w:p>
      <w:pPr>
        <w:jc w:val="both"/>
      </w:pPr>
      <w:r>
        <w:t>Aires observa que a população nativa não foi passiva, criando "mecanismos de reformulações materiais e simbólicas", e que "muitas paisagens ainda revelam materialidades de tempos passados" (2012, p. 10). Essa observação aproxima a história do distrito da noção de rugosidade de Santos. As trajetórias que se sobrepõem no território chegam à escola na forma das famílias e das crianças que ela atende.</w:t>
      </w:r>
    </w:p>
    <w:p>
      <w:pPr>
        <w:pStyle w:val="Heading3"/>
      </w:pPr>
      <w:r>
        <w:t>Conceitos</w:t>
      </w:r>
    </w:p>
    <w:p>
      <w:pPr>
        <w:pStyle w:val="ListBullet"/>
        <w:jc w:val="both"/>
      </w:pPr>
      <w:r>
        <w:rPr>
          <w:b/>
        </w:rPr>
        <w:t xml:space="preserve">Registro iconográfico. </w:t>
      </w:r>
      <w:r>
        <w:t>Cada imagem informa sobre uma etapa material da produção do distrito, como evidência da configuração visível, sem fixar o lugar num passado congelado (cap. 4, seção 4.4.4).</w:t>
      </w:r>
    </w:p>
    <w:p>
      <w:pPr>
        <w:pStyle w:val="ListBullet"/>
        <w:jc w:val="both"/>
      </w:pPr>
      <w:r>
        <w:rPr>
          <w:b/>
        </w:rPr>
        <w:t xml:space="preserve">Rugosidade. </w:t>
      </w:r>
      <w:r>
        <w:t>Ver lâmina 15.</w:t>
      </w:r>
    </w:p>
    <w:p>
      <w:pPr>
        <w:pStyle w:val="ListBullet"/>
        <w:jc w:val="both"/>
      </w:pPr>
      <w:r>
        <w:rPr>
          <w:b/>
        </w:rPr>
        <w:t xml:space="preserve">Contemporaneidade. </w:t>
      </w:r>
      <w:r>
        <w:t>Escola e polo turístico são contemporâneos, separados por relações que a análise precisa explicar (MASSEY, 2008, p. 24).</w:t>
      </w:r>
    </w:p>
    <w:p>
      <w:pPr>
        <w:pStyle w:val="Heading3"/>
      </w:pPr>
      <w:r>
        <w:t>Autores e obras</w:t>
      </w:r>
    </w:p>
    <w:p>
      <w:pPr>
        <w:pStyle w:val="ListBullet"/>
        <w:jc w:val="both"/>
      </w:pPr>
      <w:r>
        <w:rPr>
          <w:b/>
        </w:rPr>
        <w:t xml:space="preserve">Jussara Danielle Martins Aires (2012). </w:t>
      </w:r>
      <w:r>
        <w:t>Dissertação de mestrado em Ciências Sociais na UFRN, Histórias e relatos sobre Pipa: a praia internacional do Rio Grande do Norte. Principal fonte histórica do distrito.</w:t>
      </w:r>
    </w:p>
    <w:p>
      <w:pPr>
        <w:pStyle w:val="ListBullet"/>
        <w:jc w:val="both"/>
      </w:pPr>
      <w:r>
        <w:rPr>
          <w:b/>
        </w:rPr>
        <w:t xml:space="preserve">Museu Digital de Pipa. </w:t>
      </w:r>
      <w:r>
        <w:t>Acervo de onde vêm as fotografias históricas.</w:t>
      </w:r>
    </w:p>
    <w:p>
      <w:r>
        <w:rPr>
          <w:b/>
        </w:rPr>
        <w:t xml:space="preserve">Onde está na tese: </w:t>
      </w:r>
      <w:r>
        <w:t>Cap. 6, seção 6.1; Apêndice F (caderno iconográfico).</w:t>
      </w:r>
    </w:p>
    <w:p>
      <w:pPr>
        <w:pStyle w:val="Heading3"/>
      </w:pPr>
      <w:r>
        <w:t>Para a arguição</w:t>
      </w:r>
    </w:p>
    <w:p>
      <w:pPr>
        <w:spacing w:after="20"/>
      </w:pPr>
      <w:r>
        <w:rPr>
          <w:b/>
        </w:rPr>
        <w:t>O que as fotografias podem provar?</w:t>
      </w:r>
    </w:p>
    <w:p>
      <w:pPr>
        <w:jc w:val="both"/>
      </w:pPr>
      <w:r>
        <w:t>A configuração material visível no momento do registro. Não provam práticas nem intenções; servem como evidência das condições, a confrontar com documentos e narrativas.</w:t>
      </w:r>
    </w:p>
    <w:p>
      <w:pPr>
        <w:pStyle w:val="Heading2"/>
      </w:pPr>
      <w:r>
        <w:t>Lâmina 25 · A escola</w:t>
      </w:r>
    </w:p>
    <w:p>
      <w:r>
        <w:rPr>
          <w:b/>
          <w:color w:val="555555"/>
        </w:rPr>
        <w:t xml:space="preserve">Na lâmina: </w:t>
      </w:r>
      <w:r>
        <w:rPr>
          <w:i/>
          <w:color w:val="555555"/>
        </w:rPr>
        <w:t>Três fotografias (laboratório de informática, sala dos primeiros anos e alfabeto móvel feito à mão) e texto sobre a rugosidade tecnológica.</w:t>
      </w:r>
    </w:p>
    <w:p>
      <w:pPr>
        <w:pStyle w:val="Heading3"/>
      </w:pPr>
      <w:r>
        <w:t>Explicação</w:t>
      </w:r>
    </w:p>
    <w:p>
      <w:pPr>
        <w:jc w:val="both"/>
      </w:pPr>
      <w:r>
        <w:t>O laboratório foi fotografado com os equipamentos desligados e sem sinais de uso. Segundo informação preliminar, a confirmar no documento de aquisição, os computadores não vieram do ProInfo nem de outro programa federal: foram comprados pela Prefeitura, com recursos próprios, em 2022, pouco antes da lei. Nas salas fotografadas não havia nenhum dispositivo, e as crianças se alfabetizam com um alfabeto móvel feito à mão.</w:t>
      </w:r>
    </w:p>
    <w:p>
      <w:pPr>
        <w:jc w:val="both"/>
      </w:pPr>
      <w:r>
        <w:t>A tese chama essa situação de rugosidade tecnológica: a política nacional encontra equipamentos de uma iniciativa anterior e lhes atribui nova função. Santos descreve esse movimento ao dizer que a forma criada para uma função "freqüentemente permanece aguardando o próximo movimento dinâmico da sociedade, quando terá toda a probabilidade de ser chamada a cumprir uma nova função" (2012, p. 74-75).</w:t>
      </w:r>
    </w:p>
    <w:p>
      <w:pPr>
        <w:jc w:val="both"/>
      </w:pPr>
      <w:r>
        <w:t>O capítulo 6 indica o que ainda falta verificar: os cadernos de controle de uso do laboratório, que, segundo informação preliminar, não registram reservas no último ano letivo; a existência de contrato de manutenção; e o que a escola declarou ao Censo Escolar. Se o Censo registra o laboratório e os cadernos não registram uso, a estatística conta como infraestrutura um espaço sem uso pedagógico registrado, outra face da rugosidade.</w:t>
      </w:r>
    </w:p>
    <w:p>
      <w:pPr>
        <w:pStyle w:val="Heading3"/>
      </w:pPr>
      <w:r>
        <w:t>Conceitos</w:t>
      </w:r>
    </w:p>
    <w:p>
      <w:pPr>
        <w:pStyle w:val="ListBullet"/>
        <w:jc w:val="both"/>
      </w:pPr>
      <w:r>
        <w:rPr>
          <w:b/>
        </w:rPr>
        <w:t xml:space="preserve">Rugosidade tecnológica. </w:t>
      </w:r>
      <w:r>
        <w:t>Formulação da tese, em diálogo com Santos: equipamentos de uma iniciativa anterior à lei, chamados a cumprir nova função. Nomeia uma condição do contexto, documentada no cap. 6.</w:t>
      </w:r>
    </w:p>
    <w:p>
      <w:pPr>
        <w:pStyle w:val="ListBullet"/>
        <w:jc w:val="both"/>
      </w:pPr>
      <w:r>
        <w:rPr>
          <w:b/>
        </w:rPr>
        <w:t xml:space="preserve">Passado técnico da forma. </w:t>
      </w:r>
      <w:r>
        <w:t>"O passado técnico da forma é uma realidade a ser levada em consideração quando se tenta analisar o espaço" (SANTOS, 2012, p. 73).</w:t>
      </w:r>
    </w:p>
    <w:p>
      <w:pPr>
        <w:pStyle w:val="ListBullet"/>
        <w:jc w:val="both"/>
      </w:pPr>
      <w:r>
        <w:rPr>
          <w:b/>
        </w:rPr>
        <w:t xml:space="preserve">Escola como nó de uma rede territorial. </w:t>
      </w:r>
      <w:r>
        <w:t>A encenação não começa quando a orientação chega à sala; a escola já está em relações econômicas, institucionais, históricas e tecnológicas (cap. 6, seção 6.4.1).</w:t>
      </w:r>
    </w:p>
    <w:p>
      <w:pPr>
        <w:pStyle w:val="Heading3"/>
      </w:pPr>
      <w:r>
        <w:t>Autores e obras</w:t>
      </w:r>
    </w:p>
    <w:p>
      <w:pPr>
        <w:pStyle w:val="ListBullet"/>
        <w:jc w:val="both"/>
      </w:pPr>
      <w:r>
        <w:rPr>
          <w:b/>
        </w:rPr>
        <w:t xml:space="preserve">Milton Santos (2012). </w:t>
      </w:r>
      <w:r>
        <w:t>Espaço e método (Edusp), p. 73-75.</w:t>
      </w:r>
    </w:p>
    <w:p>
      <w:pPr>
        <w:pStyle w:val="ListBullet"/>
        <w:jc w:val="both"/>
      </w:pPr>
      <w:r>
        <w:rPr>
          <w:b/>
        </w:rPr>
        <w:t xml:space="preserve">José Armando Valente (1999). </w:t>
      </w:r>
      <w:r>
        <w:t>O computador na sociedade do conhecimento (Unicamp/NIED): implantar computadores sem o preparo de professores e da comunidade escolar não traz os benefícios esperados (p. 83).</w:t>
      </w:r>
    </w:p>
    <w:p>
      <w:r>
        <w:rPr>
          <w:b/>
        </w:rPr>
        <w:t xml:space="preserve">Onde está na tese: </w:t>
      </w:r>
      <w:r>
        <w:t>Cap. 6, seções 6.2, 6.3 e 6.4.1.</w:t>
      </w:r>
    </w:p>
    <w:p>
      <w:pPr>
        <w:pStyle w:val="Heading3"/>
      </w:pPr>
      <w:r>
        <w:t>Para a arguição</w:t>
      </w:r>
    </w:p>
    <w:p>
      <w:pPr>
        <w:spacing w:after="20"/>
      </w:pPr>
      <w:r>
        <w:rPr>
          <w:b/>
        </w:rPr>
        <w:t>O laboratório desligado prova que ele não é usado?</w:t>
      </w:r>
    </w:p>
    <w:p>
      <w:pPr>
        <w:jc w:val="both"/>
      </w:pPr>
      <w:r>
        <w:t>Não prova. A fotografia registra a situação no momento do registro; o uso depende dos cadernos de controle, dos documentos e das entrevistas (cap. 6, seção 6.3).</w:t>
      </w:r>
    </w:p>
    <w:p>
      <w:pPr>
        <w:pStyle w:val="Heading2"/>
      </w:pPr>
      <w:r>
        <w:t>Lâmina 26 · Tese de partida e formulações</w:t>
      </w:r>
    </w:p>
    <w:p>
      <w:r>
        <w:rPr>
          <w:b/>
          <w:color w:val="555555"/>
        </w:rPr>
        <w:t xml:space="preserve">Na lâmina: </w:t>
      </w:r>
      <w:r>
        <w:rPr>
          <w:i/>
          <w:color w:val="555555"/>
        </w:rPr>
        <w:t>No alto, a tese de partida; embaixo, três cartões: habitar o digital, rugosidade tecnológica e vazio material.</w:t>
      </w:r>
    </w:p>
    <w:p>
      <w:pPr>
        <w:pStyle w:val="Heading3"/>
      </w:pPr>
      <w:r>
        <w:t>Explicação</w:t>
      </w:r>
    </w:p>
    <w:p>
      <w:pPr>
        <w:jc w:val="both"/>
      </w:pPr>
      <w:r>
        <w:t>A tese de partida é que a PNED chega à escola como um conjunto de orientações que precisa ser lido e interpretado por quem trabalha nela, e que a forma assumida pela política no cotidiano escolar resulta da relação entre o que ela prescreve e as condições sob as quais os profissionais precisam atuar. Dessa relação podem surgir adesão, acomodação, adaptação, omissão seletiva, negociação, ressignificação e resistência, e esta última permanece hipótese a examinar.</w:t>
      </w:r>
    </w:p>
    <w:p>
      <w:pPr>
        <w:jc w:val="both"/>
      </w:pPr>
      <w:r>
        <w:t>As três formulações não têm o mesmo estatuto (cap. 4, seção 4.3.1). Habitar o digital e rugosidade tecnológica nomeiam condições do contexto, documentadas no cap. 6. O vazio material nomeia uma condição inscrita no texto da lei, examinada no cap. 5. As formas de atuação dizem respeito à ação, e só as narrativas podem mostrá-las. Por isso as condições chegam ao cap. 7 como condições documentadas, e as formas de atuação, como pergunta.</w:t>
      </w:r>
    </w:p>
    <w:p>
      <w:pPr>
        <w:pStyle w:val="Heading3"/>
      </w:pPr>
      <w:r>
        <w:t>Conceitos</w:t>
      </w:r>
    </w:p>
    <w:p>
      <w:pPr>
        <w:pStyle w:val="ListBullet"/>
        <w:jc w:val="both"/>
      </w:pPr>
      <w:r>
        <w:rPr>
          <w:b/>
        </w:rPr>
        <w:t xml:space="preserve">Tese de partida. </w:t>
      </w:r>
      <w:r>
        <w:t>Hipótese interpretativa que orienta o estudo e pode ser delimitada pelos dados. Se as formas de atuação não se ligarem ao território nem às culturas profissionais, a tese será delimitada, e o capítulo de análise dirá em que medida (cap. 4, seção 4.3.1).</w:t>
      </w:r>
    </w:p>
    <w:p>
      <w:pPr>
        <w:pStyle w:val="ListBullet"/>
        <w:jc w:val="both"/>
      </w:pPr>
      <w:r>
        <w:rPr>
          <w:b/>
        </w:rPr>
        <w:t xml:space="preserve">Materialidade da política. </w:t>
      </w:r>
      <w:r>
        <w:t>As políticas "carregam também restrições e possibilidades materiais" (BOWE; BALL; GOLD, 1992, p. 21).</w:t>
      </w:r>
    </w:p>
    <w:p>
      <w:pPr>
        <w:pStyle w:val="Heading3"/>
      </w:pPr>
      <w:r>
        <w:t>Autores e obras</w:t>
      </w:r>
    </w:p>
    <w:p>
      <w:pPr>
        <w:pStyle w:val="ListBullet"/>
        <w:jc w:val="both"/>
      </w:pPr>
      <w:r>
        <w:rPr>
          <w:b/>
        </w:rPr>
        <w:t xml:space="preserve">Bowe, Ball e Gold (1992); Mainardes (2006); Ball, Maguire e Braun (2016). </w:t>
      </w:r>
      <w:r>
        <w:t>Base da tese de partida.</w:t>
      </w:r>
    </w:p>
    <w:p>
      <w:r>
        <w:rPr>
          <w:b/>
        </w:rPr>
        <w:t xml:space="preserve">Onde está na tese: </w:t>
      </w:r>
      <w:r>
        <w:t>Cap. 1, seção 1.5; cap. 4, seção 4.3.1; projeto, seção 12.</w:t>
      </w:r>
    </w:p>
    <w:p>
      <w:pPr>
        <w:pStyle w:val="Heading3"/>
      </w:pPr>
      <w:r>
        <w:t>Para a arguição</w:t>
      </w:r>
    </w:p>
    <w:p>
      <w:pPr>
        <w:spacing w:after="20"/>
      </w:pPr>
      <w:r>
        <w:rPr>
          <w:b/>
        </w:rPr>
        <w:t>A tese pode ser refutada?</w:t>
      </w:r>
    </w:p>
    <w:p>
      <w:pPr>
        <w:jc w:val="both"/>
      </w:pPr>
      <w:r>
        <w:t>Pode ser delimitada ou revista. Nenhum resultado está excluído de antemão: se as narrativas mostrarem sobretudo adesão ou acomodação, esse será o achado (cap. 4, seção 4.3.1).</w:t>
      </w:r>
    </w:p>
    <w:p>
      <w:pPr>
        <w:pStyle w:val="Heading2"/>
      </w:pPr>
      <w:r>
        <w:t>Lâmina 27 · A questão aberta e os próximos passos</w:t>
      </w:r>
    </w:p>
    <w:p>
      <w:r>
        <w:rPr>
          <w:b/>
          <w:color w:val="555555"/>
        </w:rPr>
        <w:t xml:space="preserve">Na lâmina: </w:t>
      </w:r>
      <w:r>
        <w:rPr>
          <w:i/>
          <w:color w:val="555555"/>
        </w:rPr>
        <w:t>Título "A QUESTÃO ABERTA", texto de abertura, cartão amarelo com duas perguntas e cartão com os próximos passos.</w:t>
      </w:r>
    </w:p>
    <w:p>
      <w:pPr>
        <w:pStyle w:val="Heading3"/>
      </w:pPr>
      <w:r>
        <w:t>Explicação</w:t>
      </w:r>
    </w:p>
    <w:p>
      <w:pPr>
        <w:jc w:val="both"/>
      </w:pPr>
      <w:r>
        <w:t>A lâmina retoma a pergunta de fundo que atravessa a pesquisa. A política fez da educação digital um direito e deixou os meios na dependência de cada ente federado. Quando a política não faz chegar o equipamento nem a formação, quem paga, no cotidiano escolar, por esse vazio material e formativo? E o que isso significa para os direitos que a lei prometeu às crianças?</w:t>
      </w:r>
    </w:p>
    <w:p>
      <w:pPr>
        <w:jc w:val="both"/>
      </w:pPr>
      <w:r>
        <w:t>A ideia do custo transferido está nos capítulos 4 e 5. Se parte da distância for coberta com meios próprios, o achado será lido como custo transferido pelo desenho da política e assumido por alguém no lugar do Estado, retirado do próprio bolso, do próprio celular ou do próprio tempo de descanso. Os riscos para as crianças também estão descritos: duas crianças da mesma escola, em salas vizinhas, podem ter acesso a direitos diferentes conforme quem é responsável pela turma, e aparelhos e aplicativos pessoais podem contrariar a proteção de dados que a própria lei pretende.</w:t>
      </w:r>
    </w:p>
    <w:p>
      <w:pPr>
        <w:jc w:val="both"/>
      </w:pPr>
      <w:r>
        <w:t>Os próximos passos são a emenda ao CEP, o campo em dez semanas após a aprovação, a análise documental (com os documentos da escola já solicitados à direção e os municipais ao técnico da Secretaria) e o capítulo 7.</w:t>
      </w:r>
    </w:p>
    <w:p>
      <w:pPr>
        <w:pStyle w:val="Heading3"/>
      </w:pPr>
      <w:r>
        <w:t>Conceitos</w:t>
      </w:r>
    </w:p>
    <w:p>
      <w:pPr>
        <w:pStyle w:val="ListBullet"/>
        <w:jc w:val="both"/>
      </w:pPr>
      <w:r>
        <w:rPr>
          <w:b/>
        </w:rPr>
        <w:t xml:space="preserve">Vazio formativo. </w:t>
      </w:r>
      <w:r>
        <w:t>Expressão usada na lâmina; ainda não está definida nos capítulos. A ideia, porém, está no texto: quando a formação não chega e a exigência curricular permanece, "o próprio conhecimento se torna condição ausente" (cap. 4, seção 4.3.1), "mais uma condição que falta, junto com o equipamento e a conexão" (cap. 6, seção 6.4).</w:t>
      </w:r>
    </w:p>
    <w:p>
      <w:pPr>
        <w:pStyle w:val="ListBullet"/>
        <w:jc w:val="both"/>
      </w:pPr>
      <w:r>
        <w:rPr>
          <w:b/>
        </w:rPr>
        <w:t xml:space="preserve">Custo transferido. </w:t>
      </w:r>
      <w:r>
        <w:t>Situação em que o profissional supre com meios próprios o que a política deveria prover (cap. 4, seção 4.3.1).</w:t>
      </w:r>
    </w:p>
    <w:p>
      <w:pPr>
        <w:pStyle w:val="ListBullet"/>
        <w:jc w:val="both"/>
      </w:pPr>
      <w:r>
        <w:rPr>
          <w:b/>
        </w:rPr>
        <w:t xml:space="preserve">Critério para a formação. </w:t>
      </w:r>
      <w:r>
        <w:t>A busca por conta própria só deixa de indicar ausência quando os registros mostram uma formação oferecida antes de o conteúdo ser exigido, que alcançou o participante na sua função e etapa e tratou dos conteúdos que ele diz ter buscado sozinho (cap. 4, seção 4.3.1).</w:t>
      </w:r>
    </w:p>
    <w:p>
      <w:pPr>
        <w:pStyle w:val="Heading3"/>
      </w:pPr>
      <w:r>
        <w:t>Autores e obras</w:t>
      </w:r>
    </w:p>
    <w:p>
      <w:pPr>
        <w:pStyle w:val="ListBullet"/>
        <w:jc w:val="both"/>
      </w:pPr>
      <w:r>
        <w:rPr>
          <w:b/>
        </w:rPr>
        <w:t xml:space="preserve">BRASIL (2023, art. 3º, § 1º, IX e X). </w:t>
      </w:r>
      <w:r>
        <w:t>A formação como ação de promoção.</w:t>
      </w:r>
    </w:p>
    <w:p>
      <w:pPr>
        <w:pStyle w:val="ListBullet"/>
        <w:jc w:val="both"/>
      </w:pPr>
      <w:r>
        <w:rPr>
          <w:b/>
        </w:rPr>
        <w:t xml:space="preserve">Nunes (2024) e Tussi (2023). </w:t>
      </w:r>
      <w:r>
        <w:t>Na revisão, registram a falta de formação e a dependência da implementação em relação à capacitação.</w:t>
      </w:r>
    </w:p>
    <w:p>
      <w:r>
        <w:rPr>
          <w:b/>
        </w:rPr>
        <w:t xml:space="preserve">Onde está na tese: </w:t>
      </w:r>
      <w:r>
        <w:t>Cap. 4, seção 4.3.1; cap. 5, seções 5.5.1 e 5.6; cap. 6, seção 6.4; cap. 2, seção 2.5.2.</w:t>
      </w:r>
    </w:p>
    <w:p>
      <w:pPr>
        <w:pStyle w:val="Heading3"/>
      </w:pPr>
      <w:r>
        <w:t>Para a arguição</w:t>
      </w:r>
    </w:p>
    <w:p>
      <w:pPr>
        <w:spacing w:after="20"/>
      </w:pPr>
      <w:r>
        <w:rPr>
          <w:b/>
        </w:rPr>
        <w:t>O que é o "vazio formativo"?</w:t>
      </w:r>
    </w:p>
    <w:p>
      <w:pPr>
        <w:jc w:val="both"/>
      </w:pPr>
      <w:r>
        <w:t>A formação que a lei trata como ação de promoção, sem responsáveis, prazos nem custeio, enquanto a exigência curricular já está posta. Vale defini-lo no cap. 5, ao lado do vazio material, para que a expressão tenha lugar no texto.</w:t>
      </w:r>
    </w:p>
    <w:p>
      <w:pPr>
        <w:pStyle w:val="Heading2"/>
      </w:pPr>
      <w:r>
        <w:t>Lâmina 28 · Agradecimento</w:t>
      </w:r>
    </w:p>
    <w:p>
      <w:r>
        <w:rPr>
          <w:b/>
          <w:color w:val="555555"/>
        </w:rPr>
        <w:t xml:space="preserve">Na lâmina: </w:t>
      </w:r>
      <w:r>
        <w:rPr>
          <w:i/>
          <w:color w:val="555555"/>
        </w:rPr>
        <w:t>"AGRADEÇO pela atenção e pelas contribuições".</w:t>
      </w:r>
    </w:p>
    <w:p>
      <w:pPr>
        <w:pStyle w:val="Heading3"/>
      </w:pPr>
      <w:r>
        <w:t>Explicação</w:t>
      </w:r>
    </w:p>
    <w:p>
      <w:pPr>
        <w:jc w:val="both"/>
      </w:pPr>
      <w:r>
        <w:t>Encerra a fala e abre a arguição.</w:t>
      </w:r>
    </w:p>
    <w:p>
      <w:pPr>
        <w:pStyle w:val="Heading2"/>
      </w:pPr>
      <w:r>
        <w:t>Lâmina 29 · Referências (1/2)</w:t>
      </w:r>
    </w:p>
    <w:p>
      <w:r>
        <w:rPr>
          <w:b/>
          <w:color w:val="555555"/>
        </w:rPr>
        <w:t xml:space="preserve">Na lâmina: </w:t>
      </w:r>
      <w:r>
        <w:rPr>
          <w:i/>
          <w:color w:val="555555"/>
        </w:rPr>
        <w:t>Primeira parte da lista em ABNT, de AIRES a HARGREAVES.</w:t>
      </w:r>
    </w:p>
    <w:p>
      <w:pPr>
        <w:pStyle w:val="Heading3"/>
      </w:pPr>
      <w:r>
        <w:t>Explicação</w:t>
      </w:r>
    </w:p>
    <w:p>
      <w:pPr>
        <w:jc w:val="both"/>
      </w:pPr>
      <w:r>
        <w:t>As duas lâminas de referências reúnem as 38 obras citadas na apresentação, no formato das listas dos capítulos. Ficam à vista durante a arguição.</w:t>
      </w:r>
    </w:p>
    <w:p>
      <w:r>
        <w:rPr>
          <w:b/>
        </w:rPr>
        <w:t xml:space="preserve">Onde está na tese: </w:t>
      </w:r>
      <w:r>
        <w:t>Listas de referências dos capítulos 1 a 6.</w:t>
      </w:r>
    </w:p>
    <w:p>
      <w:pPr>
        <w:pStyle w:val="Heading2"/>
      </w:pPr>
      <w:r>
        <w:t>Lâmina 30 · Referências (2/2)</w:t>
      </w:r>
    </w:p>
    <w:p>
      <w:r>
        <w:rPr>
          <w:b/>
          <w:color w:val="555555"/>
        </w:rPr>
        <w:t xml:space="preserve">Na lâmina: </w:t>
      </w:r>
      <w:r>
        <w:rPr>
          <w:i/>
          <w:color w:val="555555"/>
        </w:rPr>
        <w:t>Segunda parte da lista, de LOCKWOOD a ZUBOFF.</w:t>
      </w:r>
    </w:p>
    <w:p>
      <w:pPr>
        <w:pStyle w:val="Heading1"/>
      </w:pPr>
      <w:r>
        <w:t>Pendências que este estudo encontrou</w:t>
      </w:r>
    </w:p>
    <w:p>
      <w:pPr>
        <w:jc w:val="both"/>
      </w:pPr>
      <w:r>
        <w:t>Ao reler os capítulos para esta explicação, apareceram pontos que precisam ser conferidos ou uniformizados antes da banca ou da versão final:</w:t>
      </w:r>
    </w:p>
    <w:p>
      <w:pPr>
        <w:pStyle w:val="ListBullet"/>
      </w:pPr>
      <w:r>
        <w:t>Di Felice (2009, p. 20): citação indireta, a conferir no livro impresso.</w:t>
      </w:r>
    </w:p>
    <w:p>
      <w:pPr>
        <w:pStyle w:val="ListBullet"/>
      </w:pPr>
      <w:r>
        <w:t>Foucault (1999, p. 29): conferir a página na edição impressa usada.</w:t>
      </w:r>
    </w:p>
    <w:p>
      <w:pPr>
        <w:pStyle w:val="ListBullet"/>
      </w:pPr>
      <w:r>
        <w:t>"Vazio formativo" (lâmina 27): expressão nova, ainda não definida nos capítulos.</w:t>
      </w:r>
    </w:p>
    <w:p>
      <w:pPr>
        <w:pStyle w:val="ListBullet"/>
      </w:pPr>
      <w:r>
        <w:t>Eixos da entrevista: o cap. 4 (seção 4.3.1) atribui ao Eixo 3 a pergunta sobre o que os profissionais fazem quando um recurso não existe; o cap. 6 (seção 6.4) atribui essa pergunta ao Eixo 4. É preciso uniformizar.</w:t>
      </w:r>
    </w:p>
    <w:p>
      <w:pPr>
        <w:pStyle w:val="ListBullet"/>
      </w:pPr>
      <w:r>
        <w:t>Posição da pesquisadora na rede: o projeto diz "trabalha há dezoito anos na rede municipal"; a Introdução diz "atua como profissional técnica de políticas públicas".</w:t>
      </w:r>
    </w:p>
    <w:p>
      <w:pPr>
        <w:pStyle w:val="ListBullet"/>
      </w:pPr>
      <w:r>
        <w:t>Dados de receita e gasto em educação de Tibau do Sul (Siconfi/Finbra): ainda não reunidos.</w:t>
      </w:r>
    </w:p>
    <w:p>
      <w:pPr>
        <w:pStyle w:val="ListBullet"/>
      </w:pPr>
      <w:r>
        <w:t>Informações preliminares do cap. 6 a confirmar nos documentos: aquisição dos computadores em 2022, cadernos de uso do laboratório, contrato de manutenção, respostas ao Censo Escolar, kit multimídia.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349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349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349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