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(29 lâminas, das quais as duas últimas são de referências) · Duração prevista: 25 minutos</w:t>
      </w:r>
    </w:p>
    <w:p>
      <w:pPr>
        <w:pStyle w:val="Heading1"/>
      </w:pPr>
      <w:r>
        <w:t>Como usar este roteiro</w:t>
      </w:r>
    </w:p>
    <w:p>
      <w:pPr>
        <w:pStyle w:val="ListBullet"/>
      </w:pPr>
      <w:r>
        <w:t>O texto tem 2817 palavras, o que dá cerca de 23 minutos de fala a 125 palavras por minuto, ritmo pausado. Os 2 minutos restantes ficam para as trocas de lâmina, as pausas e o tempo de apontar fotos e mapa. Se o ensaio cronometrado der mais de 26 minutos, use os cortes sugeridos no fim do documento.</w:t>
      </w:r>
    </w:p>
    <w:p>
      <w:pPr>
        <w:pStyle w:val="ListBullet"/>
      </w:pPr>
      <w:r>
        <w:t>Cada lâmina traz o tempo previsto e o tempo acumulado ao final dela. Os três pontos de controle mais úteis são: fim da lâmina 10 por volta de 09:25, fim da lâmina 18 por volta de 16:00 e fim da lâmina 24 por volta de 22:05.</w:t>
      </w:r>
    </w:p>
    <w:p>
      <w:pPr>
        <w:pStyle w:val="ListBullet"/>
      </w:pPr>
      <w:r>
        <w:t>As frases em itálico entre colchetes são indicações de cena e não devem ser lidas.</w:t>
      </w:r>
    </w:p>
    <w:p>
      <w:pPr>
        <w:pStyle w:val="ListBullet"/>
      </w:pPr>
      <w:r>
        <w:t>As citações foram mantidas como estão nos capítulos. Na fala, a referência pode ser feita pelo nome do autor, já que ano e página aparecem na lâmina.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Lâminas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351"/>
          </w:tcPr>
          <w:p>
            <w:r>
              <w:t>Abertura</w:t>
            </w:r>
          </w:p>
        </w:tc>
        <w:tc>
          <w:tcPr>
            <w:tcW w:type="dxa" w:w="2351"/>
          </w:tcPr>
          <w:p>
            <w:r>
              <w:t>1-2</w:t>
            </w:r>
          </w:p>
        </w:tc>
        <w:tc>
          <w:tcPr>
            <w:tcW w:type="dxa" w:w="2351"/>
          </w:tcPr>
          <w:p>
            <w:r>
              <w:t>00:55</w:t>
            </w:r>
          </w:p>
        </w:tc>
        <w:tc>
          <w:tcPr>
            <w:tcW w:type="dxa" w:w="2351"/>
          </w:tcPr>
          <w:p>
            <w:r>
              <w:t>00:55</w:t>
            </w:r>
          </w:p>
        </w:tc>
      </w:tr>
      <w:tr>
        <w:tc>
          <w:tcPr>
            <w:tcW w:type="dxa" w:w="2351"/>
          </w:tcPr>
          <w:p>
            <w:r>
              <w:t>Objeto, questão, objetivos e relevâncias</w:t>
            </w:r>
          </w:p>
        </w:tc>
        <w:tc>
          <w:tcPr>
            <w:tcW w:type="dxa" w:w="2351"/>
          </w:tcPr>
          <w:p>
            <w:r>
              <w:t>3-7</w:t>
            </w:r>
          </w:p>
        </w:tc>
        <w:tc>
          <w:tcPr>
            <w:tcW w:type="dxa" w:w="2351"/>
          </w:tcPr>
          <w:p>
            <w:r>
              <w:t>06:00</w:t>
            </w:r>
          </w:p>
        </w:tc>
        <w:tc>
          <w:tcPr>
            <w:tcW w:type="dxa" w:w="2351"/>
          </w:tcPr>
          <w:p>
            <w:r>
              <w:t>06:55</w:t>
            </w:r>
          </w:p>
        </w:tc>
      </w:tr>
      <w:tr>
        <w:tc>
          <w:tcPr>
            <w:tcW w:type="dxa" w:w="2351"/>
          </w:tcPr>
          <w:p>
            <w:r>
              <w:t>Revisão sistemática</w:t>
            </w:r>
          </w:p>
        </w:tc>
        <w:tc>
          <w:tcPr>
            <w:tcW w:type="dxa" w:w="2351"/>
          </w:tcPr>
          <w:p>
            <w:r>
              <w:t>8-10</w:t>
            </w:r>
          </w:p>
        </w:tc>
        <w:tc>
          <w:tcPr>
            <w:tcW w:type="dxa" w:w="2351"/>
          </w:tcPr>
          <w:p>
            <w:r>
              <w:t>02:30</w:t>
            </w:r>
          </w:p>
        </w:tc>
        <w:tc>
          <w:tcPr>
            <w:tcW w:type="dxa" w:w="2351"/>
          </w:tcPr>
          <w:p>
            <w:r>
              <w:t>09:25</w:t>
            </w:r>
          </w:p>
        </w:tc>
      </w:tr>
      <w:tr>
        <w:tc>
          <w:tcPr>
            <w:tcW w:type="dxa" w:w="2351"/>
          </w:tcPr>
          <w:p>
            <w:r>
              <w:t>Fundamentos teóricos</w:t>
            </w:r>
          </w:p>
        </w:tc>
        <w:tc>
          <w:tcPr>
            <w:tcW w:type="dxa" w:w="2351"/>
          </w:tcPr>
          <w:p>
            <w:r>
              <w:t>11-14</w:t>
            </w:r>
          </w:p>
        </w:tc>
        <w:tc>
          <w:tcPr>
            <w:tcW w:type="dxa" w:w="2351"/>
          </w:tcPr>
          <w:p>
            <w:r>
              <w:t>04:15</w:t>
            </w:r>
          </w:p>
        </w:tc>
        <w:tc>
          <w:tcPr>
            <w:tcW w:type="dxa" w:w="2351"/>
          </w:tcPr>
          <w:p>
            <w:r>
              <w:t>13:40</w:t>
            </w:r>
          </w:p>
        </w:tc>
      </w:tr>
      <w:tr>
        <w:tc>
          <w:tcPr>
            <w:tcW w:type="dxa" w:w="2351"/>
          </w:tcPr>
          <w:p>
            <w:r>
              <w:t>Metodologia</w:t>
            </w:r>
          </w:p>
        </w:tc>
        <w:tc>
          <w:tcPr>
            <w:tcW w:type="dxa" w:w="2351"/>
          </w:tcPr>
          <w:p>
            <w:r>
              <w:t>15-17</w:t>
            </w:r>
          </w:p>
        </w:tc>
        <w:tc>
          <w:tcPr>
            <w:tcW w:type="dxa" w:w="2351"/>
          </w:tcPr>
          <w:p>
            <w:r>
              <w:t>02:10</w:t>
            </w:r>
          </w:p>
        </w:tc>
        <w:tc>
          <w:tcPr>
            <w:tcW w:type="dxa" w:w="2351"/>
          </w:tcPr>
          <w:p>
            <w:r>
              <w:t>15:50</w:t>
            </w:r>
          </w:p>
        </w:tc>
      </w:tr>
      <w:tr>
        <w:tc>
          <w:tcPr>
            <w:tcW w:type="dxa" w:w="2351"/>
          </w:tcPr>
          <w:p>
            <w:r>
              <w:t>Agenda global e PNED</w:t>
            </w:r>
          </w:p>
        </w:tc>
        <w:tc>
          <w:tcPr>
            <w:tcW w:type="dxa" w:w="2351"/>
          </w:tcPr>
          <w:p>
            <w:r>
              <w:t>18-21</w:t>
            </w:r>
          </w:p>
        </w:tc>
        <w:tc>
          <w:tcPr>
            <w:tcW w:type="dxa" w:w="2351"/>
          </w:tcPr>
          <w:p>
            <w:r>
              <w:t>03:40</w:t>
            </w:r>
          </w:p>
        </w:tc>
        <w:tc>
          <w:tcPr>
            <w:tcW w:type="dxa" w:w="2351"/>
          </w:tcPr>
          <w:p>
            <w:r>
              <w:t>19:30</w:t>
            </w:r>
          </w:p>
        </w:tc>
      </w:tr>
      <w:tr>
        <w:tc>
          <w:tcPr>
            <w:tcW w:type="dxa" w:w="2351"/>
          </w:tcPr>
          <w:p>
            <w:r>
              <w:t>Do município à escola</w:t>
            </w:r>
          </w:p>
        </w:tc>
        <w:tc>
          <w:tcPr>
            <w:tcW w:type="dxa" w:w="2351"/>
          </w:tcPr>
          <w:p>
            <w:r>
              <w:t>22-24</w:t>
            </w:r>
          </w:p>
        </w:tc>
        <w:tc>
          <w:tcPr>
            <w:tcW w:type="dxa" w:w="2351"/>
          </w:tcPr>
          <w:p>
            <w:r>
              <w:t>02:35</w:t>
            </w:r>
          </w:p>
        </w:tc>
        <w:tc>
          <w:tcPr>
            <w:tcW w:type="dxa" w:w="2351"/>
          </w:tcPr>
          <w:p>
            <w:r>
              <w:t>22:05</w:t>
            </w:r>
          </w:p>
        </w:tc>
      </w:tr>
      <w:tr>
        <w:tc>
          <w:tcPr>
            <w:tcW w:type="dxa" w:w="2351"/>
          </w:tcPr>
          <w:p>
            <w:r>
              <w:t>Tese e encerramento</w:t>
            </w:r>
          </w:p>
        </w:tc>
        <w:tc>
          <w:tcPr>
            <w:tcW w:type="dxa" w:w="2351"/>
          </w:tcPr>
          <w:p>
            <w:r>
              <w:t>25-27</w:t>
            </w:r>
          </w:p>
        </w:tc>
        <w:tc>
          <w:tcPr>
            <w:tcW w:type="dxa" w:w="2351"/>
          </w:tcPr>
          <w:p>
            <w:r>
              <w:t>02:55</w:t>
            </w:r>
          </w:p>
        </w:tc>
        <w:tc>
          <w:tcPr>
            <w:tcW w:type="dxa" w:w="2351"/>
          </w:tcPr>
          <w:p>
            <w:r>
              <w:t>25:00</w:t>
            </w:r>
          </w:p>
        </w:tc>
      </w:tr>
      <w:tr>
        <w:tc>
          <w:tcPr>
            <w:tcW w:type="dxa" w:w="2351"/>
          </w:tcPr>
          <w:p>
            <w:r>
              <w:t>Referências</w:t>
            </w:r>
          </w:p>
        </w:tc>
        <w:tc>
          <w:tcPr>
            <w:tcW w:type="dxa" w:w="2351"/>
          </w:tcPr>
          <w:p>
            <w:r>
              <w:t>28-29</w:t>
            </w:r>
          </w:p>
        </w:tc>
        <w:tc>
          <w:tcPr>
            <w:tcW w:type="dxa" w:w="2351"/>
          </w:tcPr>
          <w:p>
            <w:r>
              <w:t>00:00</w:t>
            </w:r>
          </w:p>
        </w:tc>
        <w:tc>
          <w:tcPr>
            <w:tcW w:type="dxa" w:w="2351"/>
          </w:tcPr>
          <w:p>
            <w:r>
              <w:t>25:00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1-29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Fala, lâmina por lâmina</w:t>
      </w:r>
    </w:p>
    <w:p>
      <w:pPr>
        <w:pStyle w:val="Heading1"/>
      </w:pPr>
      <w:r>
        <w:t>ABERTURA</w:t>
      </w:r>
    </w:p>
    <w:p>
      <w:pPr>
        <w:pStyle w:val="Heading2"/>
      </w:pPr>
      <w:r>
        <w:t>Lâmina 1 · Capa</w:t>
      </w:r>
    </w:p>
    <w:p>
      <w:r>
        <w:rPr>
          <w:color w:val="666666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p>
      <w:pPr>
        <w:jc w:val="both"/>
      </w:pPr>
      <w:r>
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</w:r>
    </w:p>
    <w:p>
      <w:pPr>
        <w:pStyle w:val="Heading2"/>
      </w:pPr>
      <w:r>
        <w:t>Lâmina 2 · Roteiro</w:t>
      </w:r>
    </w:p>
    <w:p>
      <w:r>
        <w:rPr>
          <w:color w:val="666666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p>
      <w:pPr>
        <w:jc w:val="both"/>
      </w:pPr>
      <w:r>
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Lâmina 3 · Objeto</w:t>
      </w:r>
    </w:p>
    <w:p>
      <w:r>
        <w:rPr>
          <w:color w:val="666666"/>
          <w:sz w:val="20"/>
        </w:rPr>
        <w:t>70 s  ·  ao final: 02:05</w:t>
      </w:r>
    </w:p>
    <w:p>
      <w:pPr>
        <w:jc w:val="both"/>
      </w:pPr>
      <w:r>
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</w:r>
    </w:p>
    <w:p>
      <w:pPr>
        <w:pStyle w:val="Heading2"/>
      </w:pPr>
      <w:r>
        <w:t>Lâmina 4 · Questão de pesquisa</w:t>
      </w:r>
    </w:p>
    <w:p>
      <w:r>
        <w:rPr>
          <w:color w:val="666666"/>
          <w:sz w:val="20"/>
        </w:rPr>
        <w:t>65 s  ·  ao final: 03:10</w:t>
      </w:r>
    </w:p>
    <w:p>
      <w:r>
        <w:rPr>
          <w:i/>
          <w:color w:val="555555"/>
        </w:rPr>
        <w:t>[Ler a pergunta devagar, acompanhando a lâmina. Pausa antes da última frase.]</w:t>
      </w:r>
    </w:p>
    <w:p>
      <w:pPr>
        <w:jc w:val="both"/>
      </w:pPr>
      <w:r>
        <w:t>Daí a questão que orienta a pesquisa. Como a Política Nacional de Educação Digital é recontextualizada pela Secretaria Municipal de Educação de Tibau do Sul, num território que reúne áreas urbanas e rurais, povoados com realidades distintas e uma comunidade quilombola, e como essa recontextualização chega à Escola Municipal Domitila Castelo da Silva, em Pipa, onde os profissionais a encenam, atravessados pelas culturas profissionais, pelas condições materiais e institucionais da escola e pelas especificidades do lugar? Ainda não sabemos se a PNED será acolhida, adaptada, posta de lado ou contestada. A resistência, que está no título, é uma possibilidade a examinar nos dados.</w:t>
      </w:r>
    </w:p>
    <w:p>
      <w:pPr>
        <w:pStyle w:val="Heading2"/>
      </w:pPr>
      <w:r>
        <w:t>Lâmina 5 · Objetivos</w:t>
      </w:r>
    </w:p>
    <w:p>
      <w:r>
        <w:rPr>
          <w:color w:val="666666"/>
          <w:sz w:val="20"/>
        </w:rPr>
        <w:t>105 s  ·  ao final: 04:55</w:t>
      </w:r>
    </w:p>
    <w:p>
      <w:r>
        <w:rPr>
          <w:i/>
          <w:color w:val="555555"/>
        </w:rPr>
        <w:t>[Cada cartão tem um rótulo: do município a Pipa, interpretação, condições e território, formas de atuação e crianças. Destacar os verbos: analisar, compreender, examinar, identificar.]</w:t>
      </w:r>
    </w:p>
    <w:p>
      <w:pPr>
        <w:jc w:val="both"/>
      </w:pPr>
      <w:r>
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 faz o caminho do município a Pipa: analisar a recontextualização da PNED pela Secretaria em planos, currículos, formações e orientações, considerando as especificidades das localidades, entre elas as áreas rurais e a comunidade quilombola de Sibaúma, até chegar a Pipa.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</w:r>
    </w:p>
    <w:p>
      <w:pPr>
        <w:pStyle w:val="Heading2"/>
      </w:pPr>
      <w:r>
        <w:t>Lâmina 6 · Relevâncias da pesquisa</w:t>
      </w:r>
    </w:p>
    <w:p>
      <w:r>
        <w:rPr>
          <w:color w:val="666666"/>
          <w:sz w:val="20"/>
        </w:rPr>
        <w:t>60 s  ·  ao final: 05:55</w:t>
      </w:r>
    </w:p>
    <w:p>
      <w:pPr>
        <w:jc w:val="both"/>
      </w:pPr>
      <w:r>
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</w:r>
    </w:p>
    <w:p>
      <w:pPr>
        <w:pStyle w:val="Heading2"/>
      </w:pPr>
      <w:r>
        <w:t>Lâmina 7 · Ineditismo</w:t>
      </w:r>
    </w:p>
    <w:p>
      <w:r>
        <w:rPr>
          <w:color w:val="666666"/>
          <w:sz w:val="20"/>
        </w:rPr>
        <w:t>60 s  ·  ao final: 06:55</w:t>
      </w:r>
    </w:p>
    <w:p>
      <w:pPr>
        <w:jc w:val="both"/>
      </w:pPr>
      <w:r>
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Lâmina 8 · Divisor: Revisão sistemática</w:t>
      </w:r>
    </w:p>
    <w:p>
      <w:r>
        <w:rPr>
          <w:color w:val="666666"/>
          <w:sz w:val="20"/>
        </w:rPr>
        <w:t>10 s  ·  ao final: 07:05</w:t>
      </w:r>
    </w:p>
    <w:p>
      <w:pPr>
        <w:jc w:val="both"/>
      </w:pPr>
      <w:r>
        <w:t>Passo agora ao segundo capítulo, a revisão sistemática da literatura.</w:t>
      </w:r>
    </w:p>
    <w:p>
      <w:pPr>
        <w:pStyle w:val="Heading2"/>
      </w:pPr>
      <w:r>
        <w:t>Lâmina 9 · Percurso e respostas da revisão</w:t>
      </w:r>
    </w:p>
    <w:p>
      <w:r>
        <w:rPr>
          <w:color w:val="666666"/>
          <w:sz w:val="20"/>
        </w:rPr>
        <w:t>60 s  ·  ao final: 08:05</w:t>
      </w:r>
    </w:p>
    <w:p>
      <w:pPr>
        <w:jc w:val="both"/>
      </w:pPr>
      <w:r>
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</w:r>
    </w:p>
    <w:p>
      <w:pPr>
        <w:pStyle w:val="Heading2"/>
      </w:pPr>
      <w:r>
        <w:t>Lâmina 10 · O que a revisão decidiu</w:t>
      </w:r>
    </w:p>
    <w:p>
      <w:r>
        <w:rPr>
          <w:color w:val="666666"/>
          <w:sz w:val="20"/>
        </w:rPr>
        <w:t>80 s  ·  ao final: 09:25</w:t>
      </w:r>
    </w:p>
    <w:p>
      <w:r>
        <w:rPr>
          <w:i/>
          <w:color w:val="555555"/>
        </w:rPr>
        <w:t>[Ler cada linha da esquerda para a direita, seguindo a seta.]</w:t>
      </w:r>
    </w:p>
    <w:p>
      <w:pPr>
        <w:jc w:val="both"/>
      </w:pPr>
      <w:r>
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Lâmina 11 · Divisor: Fundamentos teóricos</w:t>
      </w:r>
    </w:p>
    <w:p>
      <w:r>
        <w:rPr>
          <w:color w:val="666666"/>
          <w:sz w:val="20"/>
        </w:rPr>
        <w:t>10 s  ·  ao final: 09:35</w:t>
      </w:r>
    </w:p>
    <w:p>
      <w:pPr>
        <w:jc w:val="both"/>
      </w:pPr>
      <w:r>
        <w:t>Com essas escolhas feitas, passo aos fundamentos teóricos, que acompanham a política do texto ao ato.</w:t>
      </w:r>
    </w:p>
    <w:p>
      <w:pPr>
        <w:pStyle w:val="Heading2"/>
      </w:pPr>
      <w:r>
        <w:t>Lâmina 12 · Do texto ao ato</w:t>
      </w:r>
    </w:p>
    <w:p>
      <w:r>
        <w:rPr>
          <w:color w:val="666666"/>
          <w:sz w:val="20"/>
        </w:rPr>
        <w:t>85 s  ·  ao final: 11:00</w:t>
      </w:r>
    </w:p>
    <w:p>
      <w:r>
        <w:rPr>
          <w:i/>
          <w:color w:val="555555"/>
        </w:rPr>
        <w:t>[Seguir as setas: influência, produção do texto, prática.]</w:t>
      </w:r>
    </w:p>
    <w:p>
      <w:pPr>
        <w:jc w:val="both"/>
      </w:pPr>
      <w:r>
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</w:r>
    </w:p>
    <w:p>
      <w:pPr>
        <w:pStyle w:val="Heading2"/>
      </w:pPr>
      <w:r>
        <w:t>Lâmina 13 · No contexto da prática</w:t>
      </w:r>
    </w:p>
    <w:p>
      <w:r>
        <w:rPr>
          <w:color w:val="666666"/>
          <w:sz w:val="20"/>
        </w:rPr>
        <w:t>80 s  ·  ao final: 12:20</w:t>
      </w:r>
    </w:p>
    <w:p>
      <w:pPr>
        <w:jc w:val="both"/>
      </w:pPr>
      <w:r>
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</w:r>
    </w:p>
    <w:p>
      <w:pPr>
        <w:pStyle w:val="Heading2"/>
      </w:pPr>
      <w:r>
        <w:t>Lâmina 14 · Onde a política é posta em ato</w:t>
      </w:r>
    </w:p>
    <w:p>
      <w:r>
        <w:rPr>
          <w:color w:val="666666"/>
          <w:sz w:val="20"/>
        </w:rPr>
        <w:t>80 s  ·  ao final: 13:40</w:t>
      </w:r>
    </w:p>
    <w:p>
      <w:r>
        <w:rPr>
          <w:i/>
          <w:color w:val="555555"/>
        </w:rPr>
        <w:t>[Ler devagar a definição no cartão da direita.]</w:t>
      </w:r>
    </w:p>
    <w:p>
      <w:pPr>
        <w:jc w:val="both"/>
      </w:pPr>
      <w:r>
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</w:r>
    </w:p>
    <w:p>
      <w:pPr>
        <w:pStyle w:val="Heading1"/>
      </w:pPr>
      <w:r>
        <w:t>METODOLOGIA</w:t>
      </w:r>
    </w:p>
    <w:p>
      <w:pPr>
        <w:pStyle w:val="Heading2"/>
      </w:pPr>
      <w:r>
        <w:t>Lâmina 15 · Divisor: Metodologia</w:t>
      </w:r>
    </w:p>
    <w:p>
      <w:r>
        <w:rPr>
          <w:color w:val="666666"/>
          <w:sz w:val="20"/>
        </w:rPr>
        <w:t>10 s  ·  ao final: 13:50</w:t>
      </w:r>
    </w:p>
    <w:p>
      <w:pPr>
        <w:jc w:val="both"/>
      </w:pPr>
      <w:r>
        <w:t>Vejamos como esse quadro se converte em procedimentos, no capítulo 4.</w:t>
      </w:r>
    </w:p>
    <w:p>
      <w:pPr>
        <w:pStyle w:val="Heading2"/>
      </w:pPr>
      <w:r>
        <w:t>Lâmina 16 · Desenho e participantes</w:t>
      </w:r>
    </w:p>
    <w:p>
      <w:r>
        <w:rPr>
          <w:color w:val="666666"/>
          <w:sz w:val="20"/>
        </w:rPr>
        <w:t>60 s  ·  ao final: 14:50</w:t>
      </w:r>
    </w:p>
    <w:p>
      <w:pPr>
        <w:jc w:val="both"/>
      </w:pPr>
      <w:r>
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</w:r>
    </w:p>
    <w:p>
      <w:pPr>
        <w:pStyle w:val="Heading2"/>
      </w:pPr>
      <w:r>
        <w:t>Lâmina 17 · Construção dos dados</w:t>
      </w:r>
    </w:p>
    <w:p>
      <w:r>
        <w:rPr>
          <w:color w:val="666666"/>
          <w:sz w:val="20"/>
        </w:rPr>
        <w:t>60 s  ·  ao final: 15:50</w:t>
      </w:r>
    </w:p>
    <w:p>
      <w:pPr>
        <w:jc w:val="both"/>
      </w:pPr>
      <w:r>
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</w:r>
    </w:p>
    <w:p>
      <w:pPr>
        <w:pStyle w:val="Heading1"/>
      </w:pPr>
      <w:r>
        <w:t>AGENDA GLOBAL E PNED</w:t>
      </w:r>
    </w:p>
    <w:p>
      <w:pPr>
        <w:pStyle w:val="Heading2"/>
      </w:pPr>
      <w:r>
        <w:t>Lâmina 18 · Divisor: Agenda global e PNED</w:t>
      </w:r>
    </w:p>
    <w:p>
      <w:r>
        <w:rPr>
          <w:color w:val="666666"/>
          <w:sz w:val="20"/>
        </w:rPr>
        <w:t>10 s  ·  ao final: 16:00</w:t>
      </w:r>
    </w:p>
    <w:p>
      <w:pPr>
        <w:jc w:val="both"/>
      </w:pPr>
      <w:r>
        <w:t>O capítulo 5 lê os contextos de influência e de produção do texto.</w:t>
      </w:r>
    </w:p>
    <w:p>
      <w:pPr>
        <w:pStyle w:val="Heading2"/>
      </w:pPr>
      <w:r>
        <w:t>Lâmina 19 · O que outros territórios nos ensinam</w:t>
      </w:r>
    </w:p>
    <w:p>
      <w:r>
        <w:rPr>
          <w:color w:val="666666"/>
          <w:sz w:val="20"/>
        </w:rPr>
        <w:t>65 s  ·  ao final: 17:05</w:t>
      </w:r>
    </w:p>
    <w:p>
      <w:r>
        <w:rPr>
          <w:i/>
          <w:color w:val="555555"/>
        </w:rPr>
        <w:t>[Apontar no mapa cada país citado; não ler a lista inteira.]</w:t>
      </w:r>
    </w:p>
    <w:p>
      <w:pPr>
        <w:jc w:val="both"/>
      </w:pPr>
      <w:r>
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</w:r>
    </w:p>
    <w:p>
      <w:pPr>
        <w:pStyle w:val="Heading2"/>
      </w:pPr>
      <w:r>
        <w:t>Lâmina 20 · O que a comparação traz para a tese</w:t>
      </w:r>
    </w:p>
    <w:p>
      <w:r>
        <w:rPr>
          <w:color w:val="666666"/>
          <w:sz w:val="20"/>
        </w:rPr>
        <w:t>70 s  ·  ao final: 18:15</w:t>
      </w:r>
    </w:p>
    <w:p>
      <w:r>
        <w:rPr>
          <w:i/>
          <w:color w:val="555555"/>
        </w:rPr>
        <w:t>[As cores dos cartões são as mesmas do mapa.]</w:t>
      </w:r>
    </w:p>
    <w:p>
      <w:pPr>
        <w:jc w:val="both"/>
      </w:pPr>
      <w:r>
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</w:r>
    </w:p>
    <w:p>
      <w:pPr>
        <w:pStyle w:val="Heading2"/>
      </w:pPr>
      <w:r>
        <w:t>Lâmina 21 · A PNED e o vazio material</w:t>
      </w:r>
    </w:p>
    <w:p>
      <w:r>
        <w:rPr>
          <w:color w:val="666666"/>
          <w:sz w:val="20"/>
        </w:rPr>
        <w:t>75 s  ·  ao final: 19:30</w:t>
      </w:r>
    </w:p>
    <w:p>
      <w:r>
        <w:rPr>
          <w:i/>
          <w:color w:val="555555"/>
        </w:rPr>
        <w:t>[Mostrar o cartão da esquerda e depois o da direita; pausa em "vazio material".]</w:t>
      </w:r>
    </w:p>
    <w:p>
      <w:pPr>
        <w:jc w:val="both"/>
      </w:pPr>
      <w:r>
        <w:t>A leitura da lei mostrou o ponto que considero mais frágil. De um lado está a exigência: a educação digital é componente curricular obrigatório desde a derrubada do veto, e a resolução de 2025 marcou a implementação para 2026. A formação aparece como ação de promoção. Do outro lado estão os meios: o eixo de inclusão digital se desenvolve dentro dos limites orçamentários de cada ente, e o artigo 11 não cria fundo próprio nem transferência obrigatória aos municípios. Numa rede pequena, esse desenho abre espaço para o que chamamos de vazio material: a exigência tem data, e os meios dependem da capacidade de cada rede, e a Secretaria ainda precisa decidir como distribuir o que tem entre localidades muito diferentes. Trato isso como proposição a verificar. Para separar o desenho da lei da capacidade fiscal do município, ainda preciso reunir os dados de receita e de gasto em educação de Tibau do Sul.</w:t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Lâmina 22 · Divisor: Do município à escola</w:t>
      </w:r>
    </w:p>
    <w:p>
      <w:r>
        <w:rPr>
          <w:color w:val="666666"/>
          <w:sz w:val="20"/>
        </w:rPr>
        <w:t>10 s  ·  ao final: 19:40</w:t>
      </w:r>
    </w:p>
    <w:p>
      <w:pPr>
        <w:jc w:val="both"/>
      </w:pPr>
      <w:r>
        <w:t>Chego ao capítulo 6, que percorre o caminho de Tibau do Sul até Pipa e até a escola.</w:t>
      </w:r>
    </w:p>
    <w:p>
      <w:pPr>
        <w:pStyle w:val="Heading2"/>
      </w:pPr>
      <w:r>
        <w:t>Lâmina 23 · Tibau do Sul</w:t>
      </w:r>
    </w:p>
    <w:p>
      <w:r>
        <w:rPr>
          <w:color w:val="666666"/>
          <w:sz w:val="20"/>
        </w:rPr>
        <w:t>70 s  ·  ao final: 20:50</w:t>
      </w:r>
    </w:p>
    <w:p>
      <w:r>
        <w:rPr>
          <w:i/>
          <w:color w:val="555555"/>
        </w:rPr>
        <w:t>[Apontar no mapa o litoral e a extensão do município.]</w:t>
      </w:r>
    </w:p>
    <w:p>
      <w:pPr>
        <w:jc w:val="both"/>
      </w:pPr>
      <w:r>
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</w:r>
    </w:p>
    <w:p>
      <w:pPr>
        <w:pStyle w:val="Heading2"/>
      </w:pPr>
      <w:r>
        <w:t>Lâmina 24 · Pipa e a escola</w:t>
      </w:r>
    </w:p>
    <w:p>
      <w:r>
        <w:rPr>
          <w:color w:val="666666"/>
          <w:sz w:val="20"/>
        </w:rPr>
        <w:t>75 s  ·  ao final: 22:05</w:t>
      </w:r>
    </w:p>
    <w:p>
      <w:r>
        <w:rPr>
          <w:i/>
          <w:color w:val="555555"/>
        </w:rPr>
        <w:t>[Apontar as fotos da esquerda para a direita.]</w:t>
      </w:r>
    </w:p>
    <w:p>
      <w:pPr>
        <w:jc w:val="both"/>
      </w:pPr>
      <w:r>
        <w:t>Em Pipa, a vila de pescadores recebeu surfistas a partir dos anos 1970 e o turismo internacional nos anos 1990, como mostram Aires e Alves. Hoje, pousadas, restaurantes e passeios se vendem pela internet. Na escola, o laboratório de informática foi fotografado com os equipamentos desligados, e nas salas não havia nenhum dispositivo; as crianças se alfabetizam com um alfabeto móvel feito à mão. Segundo informação preliminar, os computadores foram comprados pela Prefeitura em 2022. Chamamos essa situação de rugosidade tecnológica, com Santos: a forma permanece aguardando o próximo movimento dinâmico da sociedade. O caso de Sibaúma sugere que essa história pode se repetir na rede. Massey nos impede de ler a distância entre a escola e o polo turístico como atraso: os dois são contemporâneos.</w:t>
      </w:r>
    </w:p>
    <w:p>
      <w:pPr>
        <w:pStyle w:val="Heading1"/>
      </w:pPr>
      <w:r>
        <w:t>TESE E ENCERRAMENTO</w:t>
      </w:r>
    </w:p>
    <w:p>
      <w:pPr>
        <w:pStyle w:val="Heading2"/>
      </w:pPr>
      <w:r>
        <w:t>Lâmina 25 · Tese de partida e formulações</w:t>
      </w:r>
    </w:p>
    <w:p>
      <w:r>
        <w:rPr>
          <w:color w:val="666666"/>
          <w:sz w:val="20"/>
        </w:rPr>
        <w:t>90 s  ·  ao final: 23:35</w:t>
      </w:r>
    </w:p>
    <w:p>
      <w:r>
        <w:rPr>
          <w:i/>
          <w:color w:val="555555"/>
        </w:rPr>
        <w:t>[Ler a tese de partida em tom mais lento. É o centro da apresentação.]</w:t>
      </w:r>
    </w:p>
    <w:p>
      <w:pPr>
        <w:jc w:val="both"/>
      </w:pPr>
      <w:r>
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</w:r>
    </w:p>
    <w:p>
      <w:pPr>
        <w:pStyle w:val="Heading2"/>
      </w:pPr>
      <w:r>
        <w:t>Lâmina 26 · A questão aberta e os próximos passos</w:t>
      </w:r>
    </w:p>
    <w:p>
      <w:r>
        <w:rPr>
          <w:color w:val="666666"/>
          <w:sz w:val="20"/>
        </w:rPr>
        <w:t>70 s  ·  ao final: 24:45</w:t>
      </w:r>
    </w:p>
    <w:p>
      <w:r>
        <w:rPr>
          <w:i/>
          <w:color w:val="555555"/>
        </w:rPr>
        <w:t>[Pausa antes de ler as duas perguntas do cartão amarelo, em tom mais lento.]</w:t>
      </w:r>
    </w:p>
    <w:p>
      <w:pPr>
        <w:jc w:val="both"/>
      </w:pPr>
      <w:r>
        <w:t>Termino com a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 Para respondê-la, os próximos passos são submeter a emenda ao Comitê de Ética, com a Secretaria como coparticipante, realizar o campo em dez semanas, completar a análise documental, com os documentos já solicitados à direção da escola e ao técnico da Secretaria, e escrever o capítulo 7, incorporando as contribuições desta banca.</w:t>
      </w:r>
    </w:p>
    <w:p>
      <w:pPr>
        <w:pStyle w:val="Heading2"/>
      </w:pPr>
      <w:r>
        <w:t>Lâmina 27 · Agradecimento</w:t>
      </w:r>
    </w:p>
    <w:p>
      <w:r>
        <w:rPr>
          <w:color w:val="666666"/>
          <w:sz w:val="20"/>
        </w:rPr>
        <w:t>15 s  ·  ao final: 25:00</w:t>
      </w:r>
    </w:p>
    <w:p>
      <w:pPr>
        <w:jc w:val="both"/>
      </w:pPr>
      <w:r>
        <w:t>Agradeço a atenção e fico à disposição para ouvir as considerações da banca, que vão ajudar a tornar esta pesquisa mais consistente.</w:t>
      </w:r>
    </w:p>
    <w:p>
      <w:pPr>
        <w:pStyle w:val="Heading1"/>
      </w:pPr>
      <w:r>
        <w:t>REFERÊNCIAS</w:t>
      </w:r>
    </w:p>
    <w:p>
      <w:pPr>
        <w:pStyle w:val="Heading2"/>
      </w:pPr>
      <w:r>
        <w:t>Lâmina 28 · Referências (1/2)</w:t>
      </w:r>
    </w:p>
    <w:p>
      <w:r>
        <w:rPr>
          <w:color w:val="666666"/>
          <w:sz w:val="20"/>
        </w:rPr>
        <w:t>0 s  ·  ao final: 25:00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2"/>
      </w:pPr>
      <w:r>
        <w:t>Lâmina 29 · Referências (2/2)</w:t>
      </w:r>
    </w:p>
    <w:p>
      <w:r>
        <w:rPr>
          <w:color w:val="666666"/>
          <w:sz w:val="20"/>
        </w:rPr>
        <w:t>0 s  ·  ao final: 25:00</w:t>
      </w:r>
    </w:p>
    <w:p>
      <w:r>
        <w:rPr>
          <w:i/>
          <w:color w:val="555555"/>
        </w:rPr>
        <w:t>[Sem fala.]</w:t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Lâmina 19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Lâmina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Lâmina 20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Lâmina 23 (Tibau do Sul): </w:t>
      </w:r>
      <w:r>
        <w:t>dizer só as localidades e a pergunta final. Ganho de cerca de 20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