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CDFE3">
      <w:pPr>
        <w:rPr>
          <w:rFonts w:hint="eastAsia"/>
          <w:lang w:val="en-US" w:eastAsia="zh-CN"/>
        </w:rPr>
      </w:pPr>
      <w:r>
        <w:rPr>
          <w:rFonts w:hint="eastAsia"/>
          <w:lang w:val="en-US" w:eastAsia="zh-CN"/>
        </w:rPr>
        <w:t>维修涉及到的功能模块共有两部分：</w:t>
      </w:r>
      <w:r>
        <w:rPr>
          <w:rFonts w:hint="eastAsia"/>
          <w:lang w:val="en-US" w:eastAsia="zh-CN"/>
        </w:rPr>
        <w:br w:type="textWrapping"/>
      </w:r>
      <w:r>
        <w:rPr>
          <w:rFonts w:hint="eastAsia"/>
          <w:lang w:val="en-US" w:eastAsia="zh-CN"/>
        </w:rPr>
        <w:t>1、电站详情加一个tab页：维修记录</w:t>
      </w:r>
    </w:p>
    <w:p w14:paraId="7C98D073">
      <w:pPr>
        <w:rPr>
          <w:rFonts w:hint="eastAsia"/>
          <w:lang w:val="en-US" w:eastAsia="zh-CN"/>
        </w:rPr>
      </w:pPr>
      <w:r>
        <w:rPr>
          <w:rFonts w:hint="eastAsia"/>
          <w:lang w:val="en-US" w:eastAsia="zh-CN"/>
        </w:rPr>
        <w:t>维修记录页主要展示机组列表，以利比亚为例，1-106台机组依次排列。</w:t>
      </w:r>
    </w:p>
    <w:p w14:paraId="1B52984A">
      <w:pPr>
        <w:rPr>
          <w:rFonts w:hint="eastAsia"/>
          <w:lang w:val="en-US" w:eastAsia="zh-CN"/>
        </w:rPr>
      </w:pPr>
      <w:r>
        <w:rPr>
          <w:rFonts w:hint="eastAsia"/>
          <w:lang w:val="en-US" w:eastAsia="zh-CN"/>
        </w:rPr>
        <w:t>点击维修登记可直接进入维修登记页面，并且电站和机组已经默认选择。</w:t>
      </w:r>
    </w:p>
    <w:p w14:paraId="216ED201">
      <w:pPr>
        <w:rPr>
          <w:rFonts w:hint="eastAsia"/>
          <w:lang w:val="en-US" w:eastAsia="zh-CN"/>
        </w:rPr>
      </w:pPr>
      <w:r>
        <w:rPr>
          <w:rFonts w:hint="eastAsia"/>
          <w:lang w:val="en-US" w:eastAsia="zh-CN"/>
        </w:rPr>
        <w:t>点击查看更多进入该机组的维修记录页面，可查看该机组的历史维修记录。</w:t>
      </w:r>
    </w:p>
    <w:p w14:paraId="3AC137BA">
      <w:pPr>
        <w:rPr>
          <w:rFonts w:hint="eastAsia"/>
          <w:lang w:val="en-US" w:eastAsia="zh-CN"/>
        </w:rPr>
      </w:pPr>
      <w:r>
        <w:rPr>
          <w:rFonts w:hint="eastAsia"/>
          <w:lang w:val="en-US" w:eastAsia="zh-CN"/>
        </w:rPr>
        <w:t>点击某一次维修记录可查看维修记录详情（电站详情入口和运维管理入口查看的维修记录详情页一样）</w:t>
      </w:r>
      <w:r>
        <w:rPr>
          <w:rFonts w:hint="eastAsia"/>
          <w:lang w:val="en-US" w:eastAsia="zh-CN"/>
        </w:rPr>
        <w:br w:type="textWrapping"/>
      </w:r>
      <w:r>
        <w:rPr>
          <w:rFonts w:hint="eastAsia"/>
          <w:lang w:val="en-US" w:eastAsia="zh-CN"/>
        </w:rPr>
        <w:t>2、运维管理模块下加一个模块：维修管理</w:t>
      </w:r>
    </w:p>
    <w:p w14:paraId="2DFFD4F9">
      <w:pPr>
        <w:rPr>
          <w:rFonts w:hint="eastAsia"/>
          <w:lang w:val="en-US" w:eastAsia="zh-CN"/>
        </w:rPr>
      </w:pPr>
      <w:r>
        <w:rPr>
          <w:rFonts w:hint="eastAsia"/>
          <w:lang w:val="en-US" w:eastAsia="zh-CN"/>
        </w:rPr>
        <w:t>维修管理页面呈现所有的维修记录并可以进行筛选查看</w:t>
      </w:r>
    </w:p>
    <w:p w14:paraId="737DFF83">
      <w:pPr>
        <w:bidi w:val="0"/>
      </w:pPr>
      <w:r>
        <w:rPr>
          <w:rFonts w:hint="eastAsia"/>
          <w:lang w:val="en-US" w:eastAsia="zh-CN"/>
        </w:rPr>
        <w:t>维修登记：点击维修登记可进行维修情况登记，</w:t>
      </w:r>
      <w:r>
        <w:rPr>
          <w:rFonts w:ascii="Segoe UI" w:hAnsi="Segoe UI" w:eastAsia="Segoe UI" w:cs="Segoe UI"/>
          <w:i w:val="0"/>
          <w:iCs w:val="0"/>
          <w:caps w:val="0"/>
          <w:color w:val="171717"/>
          <w:spacing w:val="-3"/>
          <w:kern w:val="0"/>
          <w:szCs w:val="21"/>
          <w:bdr w:val="single" w:color="E5E7EB" w:sz="2" w:space="0"/>
          <w:lang w:val="en-US" w:eastAsia="zh-CN" w:bidi="ar"/>
        </w:rPr>
        <w:t>在维修记录通过维修登记按钮进入登记，维</w:t>
      </w:r>
      <w:r>
        <w:rPr>
          <w:lang w:val="en-US" w:eastAsia="zh-CN"/>
        </w:rPr>
        <w:t>修登记不需要审核流程，由登记人员在登记界面手动登记维修登记、开始维修、完工确认，确认对应的维修状态（待维修——维修中——已完成）。</w:t>
      </w:r>
    </w:p>
    <w:p w14:paraId="36F52F68">
      <w:pPr>
        <w:bidi w:val="0"/>
        <w:rPr>
          <w:rFonts w:hint="default"/>
          <w:lang w:val="en-US" w:eastAsia="zh-CN"/>
        </w:rPr>
      </w:pPr>
      <w:r>
        <w:rPr>
          <w:rFonts w:hint="default"/>
          <w:lang w:val="en-US" w:eastAsia="zh-CN"/>
        </w:rPr>
        <w:t>维修登记时先选择电站、机组，带出云猫编号、机组运行时长的信息；然后可选择</w:t>
      </w:r>
      <w:r>
        <w:rPr>
          <w:rFonts w:hint="eastAsia"/>
          <w:lang w:val="en-US" w:eastAsia="zh-CN"/>
        </w:rPr>
        <w:t>该机组</w:t>
      </w:r>
      <w:r>
        <w:rPr>
          <w:rFonts w:hint="default"/>
          <w:lang w:val="en-US" w:eastAsia="zh-CN"/>
        </w:rPr>
        <w:t>关联</w:t>
      </w:r>
      <w:r>
        <w:rPr>
          <w:rFonts w:hint="eastAsia"/>
          <w:lang w:val="en-US" w:eastAsia="zh-CN"/>
        </w:rPr>
        <w:t>的</w:t>
      </w:r>
      <w:r>
        <w:rPr>
          <w:rFonts w:hint="default"/>
          <w:lang w:val="en-US" w:eastAsia="zh-CN"/>
        </w:rPr>
        <w:t>报警记录、停机记录；</w:t>
      </w:r>
    </w:p>
    <w:p w14:paraId="0803F9B3">
      <w:pPr>
        <w:bidi w:val="0"/>
        <w:rPr>
          <w:rFonts w:ascii="Segoe UI" w:hAnsi="Segoe UI" w:eastAsia="Segoe UI" w:cs="Segoe UI"/>
          <w:i w:val="0"/>
          <w:iCs w:val="0"/>
          <w:caps w:val="0"/>
          <w:color w:val="171717"/>
          <w:spacing w:val="-3"/>
          <w:sz w:val="21"/>
          <w:szCs w:val="21"/>
        </w:rPr>
      </w:pPr>
      <w:r>
        <w:rPr>
          <w:rFonts w:ascii="Segoe UI" w:hAnsi="Segoe UI" w:eastAsia="Segoe UI" w:cs="Segoe UI"/>
          <w:i w:val="0"/>
          <w:iCs w:val="0"/>
          <w:caps w:val="0"/>
          <w:color w:val="171717"/>
          <w:spacing w:val="-3"/>
          <w:sz w:val="21"/>
          <w:szCs w:val="21"/>
        </w:rPr>
        <w:t>故障级别的选择：一级:报警停机类；二级:报警故障类；三级:一般警告类；四级:提示信息类。故障类型的选择：电控系统类(ECU)、燃料与燃烧系统类、冷却与润滑系统类、机械与结构类、控制与安全保护类、环境与辅助系统类、发电侧系统类、其他类。</w:t>
      </w:r>
    </w:p>
    <w:p w14:paraId="1F781FE3">
      <w:pPr>
        <w:bidi w:val="0"/>
        <w:rPr>
          <w:rFonts w:hint="default" w:ascii="Segoe UI" w:hAnsi="Segoe UI" w:eastAsia="Segoe UI" w:cs="Segoe UI"/>
          <w:i w:val="0"/>
          <w:iCs w:val="0"/>
          <w:caps w:val="0"/>
          <w:color w:val="171717"/>
          <w:spacing w:val="-3"/>
          <w:sz w:val="21"/>
          <w:szCs w:val="21"/>
          <w:lang w:val="en-US" w:eastAsia="zh-CN"/>
        </w:rPr>
      </w:pPr>
    </w:p>
    <w:p w14:paraId="216CC760">
      <w:pPr>
        <w:bidi w:val="0"/>
        <w:rPr>
          <w:rFonts w:hint="default" w:ascii="Segoe UI" w:hAnsi="Segoe UI" w:eastAsia="Segoe UI" w:cs="Segoe UI"/>
          <w:i w:val="0"/>
          <w:iCs w:val="0"/>
          <w:caps w:val="0"/>
          <w:color w:val="171717"/>
          <w:spacing w:val="-3"/>
          <w:sz w:val="21"/>
          <w:szCs w:val="21"/>
          <w:lang w:val="en-US" w:eastAsia="zh-CN"/>
        </w:rPr>
      </w:pPr>
      <w:r>
        <w:rPr>
          <w:rFonts w:hint="eastAsia" w:ascii="Segoe UI" w:hAnsi="Segoe UI" w:eastAsia="Segoe UI" w:cs="Segoe UI"/>
          <w:i w:val="0"/>
          <w:iCs w:val="0"/>
          <w:caps w:val="0"/>
          <w:color w:val="171717"/>
          <w:spacing w:val="-3"/>
          <w:sz w:val="21"/>
          <w:szCs w:val="21"/>
          <w:lang w:val="en-US" w:eastAsia="zh-CN"/>
        </w:rPr>
        <w:t>注意：故障级别，故障类型，维修过程描述，都和报警处理登记中的内容一一对应，在报警处理登记添加一个保存并登记维修，即可将报警处理登记的信息带入到维修登记中进行对应机组对应报警记录的维修登记。同时报警处理登记添加一个维修记录选择栏，点击可查看该机组的维修记录，选择后自动带入上面三种信息（见图3）</w:t>
      </w:r>
      <w:bookmarkStart w:id="0" w:name="_GoBack"/>
      <w:bookmarkEnd w:id="0"/>
    </w:p>
    <w:p w14:paraId="1EED82EA">
      <w:pPr>
        <w:rPr>
          <w:rFonts w:hint="default"/>
          <w:lang w:val="en-US" w:eastAsia="zh-CN"/>
        </w:rPr>
      </w:pPr>
    </w:p>
    <w:p w14:paraId="03B6660D">
      <w:pPr>
        <w:rPr>
          <w:rFonts w:hint="eastAsia"/>
          <w:lang w:val="en-US" w:eastAsia="zh-CN"/>
        </w:rPr>
      </w:pPr>
    </w:p>
    <w:p w14:paraId="2E57279E">
      <w:pPr>
        <w:rPr>
          <w:rFonts w:hint="default" w:eastAsiaTheme="minorEastAsia"/>
          <w:lang w:val="en-US" w:eastAsia="zh-CN"/>
        </w:rPr>
      </w:pPr>
      <w:r>
        <w:rPr>
          <w:rFonts w:hint="eastAsia"/>
          <w:lang w:val="en-US" w:eastAsia="zh-CN"/>
        </w:rPr>
        <w:t>1电站详情维修记录页面：</w:t>
      </w:r>
    </w:p>
    <w:p w14:paraId="4652C3F3">
      <w:pPr>
        <w:rPr>
          <w:rFonts w:hint="eastAsia"/>
          <w:lang w:val="en-US" w:eastAsia="zh-CN"/>
        </w:rPr>
      </w:pPr>
      <w:r>
        <w:drawing>
          <wp:inline distT="0" distB="0" distL="114300" distR="114300">
            <wp:extent cx="5257800" cy="2849245"/>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57800" cy="2849245"/>
                    </a:xfrm>
                    <a:prstGeom prst="rect">
                      <a:avLst/>
                    </a:prstGeom>
                    <a:noFill/>
                    <a:ln>
                      <a:noFill/>
                    </a:ln>
                  </pic:spPr>
                </pic:pic>
              </a:graphicData>
            </a:graphic>
          </wp:inline>
        </w:drawing>
      </w:r>
    </w:p>
    <w:p w14:paraId="1A30194B">
      <w:r>
        <w:rPr>
          <w:rFonts w:hint="eastAsia"/>
          <w:lang w:val="en-US" w:eastAsia="zh-CN"/>
        </w:rPr>
        <w:t>1.1机组的维修记录页面：</w:t>
      </w:r>
    </w:p>
    <w:p w14:paraId="1258F525">
      <w:r>
        <w:drawing>
          <wp:inline distT="0" distB="0" distL="114300" distR="114300">
            <wp:extent cx="5266690" cy="2781300"/>
            <wp:effectExtent l="0" t="0" r="635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2781300"/>
                    </a:xfrm>
                    <a:prstGeom prst="rect">
                      <a:avLst/>
                    </a:prstGeom>
                    <a:noFill/>
                    <a:ln>
                      <a:noFill/>
                    </a:ln>
                  </pic:spPr>
                </pic:pic>
              </a:graphicData>
            </a:graphic>
          </wp:inline>
        </w:drawing>
      </w:r>
      <w:r>
        <w:drawing>
          <wp:inline distT="0" distB="0" distL="114300" distR="114300">
            <wp:extent cx="5266690" cy="2630805"/>
            <wp:effectExtent l="0" t="0" r="635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6690" cy="2630805"/>
                    </a:xfrm>
                    <a:prstGeom prst="rect">
                      <a:avLst/>
                    </a:prstGeom>
                    <a:noFill/>
                    <a:ln>
                      <a:noFill/>
                    </a:ln>
                  </pic:spPr>
                </pic:pic>
              </a:graphicData>
            </a:graphic>
          </wp:inline>
        </w:drawing>
      </w:r>
    </w:p>
    <w:p w14:paraId="632902B6">
      <w:pPr>
        <w:rPr>
          <w:rFonts w:hint="default" w:eastAsiaTheme="minorEastAsia"/>
          <w:lang w:val="en-US" w:eastAsia="zh-CN"/>
        </w:rPr>
      </w:pPr>
      <w:r>
        <w:rPr>
          <w:rFonts w:hint="eastAsia"/>
          <w:lang w:val="en-US" w:eastAsia="zh-CN"/>
        </w:rPr>
        <w:t>1.1.1维修记录详情页面</w:t>
      </w:r>
    </w:p>
    <w:p w14:paraId="1CF06737">
      <w:r>
        <w:drawing>
          <wp:inline distT="0" distB="0" distL="114300" distR="114300">
            <wp:extent cx="5266690" cy="2740660"/>
            <wp:effectExtent l="0" t="0" r="635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6690" cy="2740660"/>
                    </a:xfrm>
                    <a:prstGeom prst="rect">
                      <a:avLst/>
                    </a:prstGeom>
                    <a:noFill/>
                    <a:ln>
                      <a:noFill/>
                    </a:ln>
                  </pic:spPr>
                </pic:pic>
              </a:graphicData>
            </a:graphic>
          </wp:inline>
        </w:drawing>
      </w:r>
    </w:p>
    <w:p w14:paraId="74DAFE6E">
      <w:pPr>
        <w:rPr>
          <w:rFonts w:hint="default" w:eastAsiaTheme="minorEastAsia"/>
          <w:lang w:val="en-US" w:eastAsia="zh-CN"/>
        </w:rPr>
      </w:pPr>
      <w:r>
        <w:rPr>
          <w:rFonts w:hint="eastAsia"/>
          <w:lang w:val="en-US" w:eastAsia="zh-CN"/>
        </w:rPr>
        <w:t>2维修管理页面：</w:t>
      </w:r>
    </w:p>
    <w:p w14:paraId="524D83B2">
      <w:r>
        <w:drawing>
          <wp:inline distT="0" distB="0" distL="114300" distR="114300">
            <wp:extent cx="5271135" cy="4105910"/>
            <wp:effectExtent l="0" t="0" r="190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1135" cy="4105910"/>
                    </a:xfrm>
                    <a:prstGeom prst="rect">
                      <a:avLst/>
                    </a:prstGeom>
                    <a:noFill/>
                    <a:ln>
                      <a:noFill/>
                    </a:ln>
                  </pic:spPr>
                </pic:pic>
              </a:graphicData>
            </a:graphic>
          </wp:inline>
        </w:drawing>
      </w:r>
    </w:p>
    <w:p w14:paraId="7F0C458F">
      <w:pPr>
        <w:jc w:val="left"/>
        <w:rPr>
          <w:rFonts w:hint="eastAsia"/>
          <w:lang w:val="en-US" w:eastAsia="zh-CN"/>
        </w:rPr>
      </w:pPr>
    </w:p>
    <w:p w14:paraId="6ECF3567">
      <w:pPr>
        <w:jc w:val="left"/>
        <w:rPr>
          <w:rFonts w:hint="eastAsia"/>
          <w:lang w:val="en-US" w:eastAsia="zh-CN"/>
        </w:rPr>
      </w:pPr>
    </w:p>
    <w:p w14:paraId="1FAF0775">
      <w:pPr>
        <w:jc w:val="left"/>
        <w:rPr>
          <w:rFonts w:hint="eastAsia"/>
          <w:lang w:val="en-US" w:eastAsia="zh-CN"/>
        </w:rPr>
      </w:pPr>
    </w:p>
    <w:p w14:paraId="344726A6">
      <w:pPr>
        <w:jc w:val="left"/>
        <w:rPr>
          <w:rFonts w:hint="eastAsia"/>
          <w:lang w:val="en-US" w:eastAsia="zh-CN"/>
        </w:rPr>
      </w:pPr>
      <w:r>
        <w:rPr>
          <w:rFonts w:hint="eastAsia"/>
          <w:lang w:val="en-US" w:eastAsia="zh-CN"/>
        </w:rPr>
        <w:t>图3：</w:t>
      </w:r>
    </w:p>
    <w:p w14:paraId="14DFBA6D">
      <w:pPr>
        <w:jc w:val="left"/>
      </w:pPr>
      <w:r>
        <w:drawing>
          <wp:inline distT="0" distB="0" distL="114300" distR="114300">
            <wp:extent cx="5266690" cy="3124200"/>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6690" cy="3124200"/>
                    </a:xfrm>
                    <a:prstGeom prst="rect">
                      <a:avLst/>
                    </a:prstGeom>
                    <a:noFill/>
                    <a:ln>
                      <a:noFill/>
                    </a:ln>
                  </pic:spPr>
                </pic:pic>
              </a:graphicData>
            </a:graphic>
          </wp:inline>
        </w:drawing>
      </w:r>
    </w:p>
    <w:p w14:paraId="19ED969E"/>
    <w:p w14:paraId="747EE574">
      <w:pPr>
        <w:rPr>
          <w:rFonts w:hint="default"/>
          <w:lang w:val="en-US" w:eastAsia="zh-CN"/>
        </w:rPr>
      </w:pPr>
    </w:p>
    <w:p w14:paraId="3B08573B">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0169E2"/>
    <w:rsid w:val="260169E2"/>
    <w:rsid w:val="52501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2026-09-01T17:53:00Z</dcterms:created>
  <dc:creator>Aaron.陈</dc:creator>
  <cp:lastModifiedBy>Aaron.陈</cp:lastModifiedBy>
  <dcterms:modified xsi:type="dcterms:W3CDTF">2026-09-01T18:25:19Z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10BF6E09335E46B8BF5EDC1C66B7C28F_11</vt:lpwstr>
  </property>
  <property fmtid="{D5CDD505-2E9C-101B-9397-08002B2CF9AE}" pid="4" name="KSOTemplateDocerSaveRecord">
    <vt:lpwstr>eyJoZGlkIjoiNjBlZDc4MGRjN2MwN2ZkZWIwMzg0Njg1MWNiYTU4YWUiLCJ1c2VySWQiOiI0MDQxOTU3ODUifQ==</vt:lpwstr>
  </property>
</Properties>
</file>